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50" w:rsidRPr="00332A80" w:rsidRDefault="00525AC1" w:rsidP="00525AC1">
      <w:pPr>
        <w:jc w:val="center"/>
        <w:rPr>
          <w:rFonts w:ascii="標楷體" w:eastAsia="標楷體" w:hAnsi="標楷體"/>
          <w:sz w:val="36"/>
          <w:szCs w:val="36"/>
        </w:rPr>
      </w:pPr>
      <w:r w:rsidRPr="00332A80">
        <w:rPr>
          <w:rFonts w:ascii="標楷體" w:eastAsia="標楷體" w:hAnsi="標楷體" w:hint="eastAsia"/>
          <w:sz w:val="36"/>
          <w:szCs w:val="36"/>
        </w:rPr>
        <w:t>人權景點校外教學課程發展方向建議表</w:t>
      </w:r>
    </w:p>
    <w:p w:rsidR="00525AC1" w:rsidRPr="00332A80" w:rsidRDefault="00BB1766" w:rsidP="00332A80">
      <w:pPr>
        <w:jc w:val="right"/>
        <w:rPr>
          <w:rFonts w:ascii="標楷體" w:eastAsia="標楷體" w:hAnsi="標楷體"/>
          <w:sz w:val="28"/>
          <w:szCs w:val="28"/>
        </w:rPr>
      </w:pPr>
      <w:r>
        <w:rPr>
          <w:rFonts w:ascii="標楷體" w:eastAsia="標楷體" w:hAnsi="標楷體" w:hint="eastAsia"/>
          <w:sz w:val="28"/>
          <w:szCs w:val="28"/>
        </w:rPr>
        <w:t>臺南市安定國中胡晃銘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8899"/>
      </w:tblGrid>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人權景點</w:t>
            </w:r>
          </w:p>
        </w:tc>
        <w:tc>
          <w:tcPr>
            <w:tcW w:w="7786" w:type="dxa"/>
            <w:shd w:val="clear" w:color="auto" w:fill="auto"/>
          </w:tcPr>
          <w:p w:rsidR="00332A80" w:rsidRPr="005335B0" w:rsidRDefault="00D60F80" w:rsidP="005335B0">
            <w:pPr>
              <w:jc w:val="both"/>
              <w:rPr>
                <w:rFonts w:ascii="標楷體" w:eastAsia="標楷體" w:hAnsi="標楷體"/>
              </w:rPr>
            </w:pPr>
            <w:r>
              <w:rPr>
                <w:rFonts w:ascii="標楷體" w:eastAsia="標楷體" w:hAnsi="標楷體" w:hint="eastAsia"/>
              </w:rPr>
              <w:t>國立台灣文學館</w:t>
            </w: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位址</w:t>
            </w:r>
          </w:p>
        </w:tc>
        <w:tc>
          <w:tcPr>
            <w:tcW w:w="7786" w:type="dxa"/>
            <w:shd w:val="clear" w:color="auto" w:fill="auto"/>
          </w:tcPr>
          <w:p w:rsidR="00332A80" w:rsidRPr="005335B0" w:rsidRDefault="004B3F2A" w:rsidP="005335B0">
            <w:pPr>
              <w:jc w:val="both"/>
              <w:rPr>
                <w:rFonts w:ascii="標楷體" w:eastAsia="標楷體" w:hAnsi="標楷體"/>
              </w:rPr>
            </w:pPr>
            <w:r w:rsidRPr="004B3F2A">
              <w:rPr>
                <w:rFonts w:ascii="標楷體" w:eastAsia="標楷體" w:hAnsi="標楷體" w:hint="eastAsia"/>
              </w:rPr>
              <w:t>台南市中西區中正路1號</w:t>
            </w:r>
          </w:p>
        </w:tc>
      </w:tr>
      <w:tr w:rsidR="00CF4586" w:rsidRPr="005335B0" w:rsidTr="00972D43">
        <w:trPr>
          <w:trHeight w:val="8070"/>
        </w:trPr>
        <w:tc>
          <w:tcPr>
            <w:tcW w:w="1908" w:type="dxa"/>
            <w:shd w:val="clear" w:color="auto" w:fill="auto"/>
          </w:tcPr>
          <w:p w:rsidR="00913AD1" w:rsidRPr="005335B0" w:rsidRDefault="00913AD1" w:rsidP="005335B0">
            <w:pPr>
              <w:jc w:val="both"/>
              <w:rPr>
                <w:rFonts w:ascii="標楷體" w:eastAsia="標楷體" w:hAnsi="標楷體"/>
              </w:rPr>
            </w:pPr>
            <w:r w:rsidRPr="005335B0">
              <w:rPr>
                <w:rFonts w:ascii="標楷體" w:eastAsia="標楷體" w:hAnsi="標楷體" w:hint="eastAsia"/>
              </w:rPr>
              <w:t>人權景點簡介</w:t>
            </w:r>
          </w:p>
        </w:tc>
        <w:tc>
          <w:tcPr>
            <w:tcW w:w="7786" w:type="dxa"/>
            <w:shd w:val="clear" w:color="auto" w:fill="auto"/>
          </w:tcPr>
          <w:p w:rsidR="00A26502" w:rsidRPr="00A26502" w:rsidRDefault="00A26502" w:rsidP="00A26502">
            <w:pPr>
              <w:jc w:val="both"/>
              <w:rPr>
                <w:rFonts w:ascii="標楷體" w:eastAsia="標楷體" w:hAnsi="標楷體"/>
              </w:rPr>
            </w:pPr>
            <w:r w:rsidRPr="00A26502">
              <w:rPr>
                <w:rFonts w:ascii="標楷體" w:eastAsia="標楷體" w:hAnsi="標楷體" w:hint="eastAsia"/>
              </w:rPr>
              <w:t>【簡介】</w:t>
            </w:r>
          </w:p>
          <w:p w:rsidR="007850F3" w:rsidRPr="007850F3" w:rsidRDefault="007850F3" w:rsidP="007850F3">
            <w:pPr>
              <w:jc w:val="both"/>
              <w:rPr>
                <w:rFonts w:ascii="標楷體" w:eastAsia="標楷體" w:hAnsi="標楷體"/>
              </w:rPr>
            </w:pPr>
            <w:r w:rsidRPr="007850F3">
              <w:rPr>
                <w:rFonts w:ascii="標楷體" w:eastAsia="標楷體" w:hAnsi="標楷體" w:hint="eastAsia"/>
              </w:rPr>
              <w:t>台灣文學的發展，從早期原住民、荷西、明鄭、清領、日治、民國以來，世代更迭，族群交融，累積大量文學作品，孕育出豐厚多元的內涵，惟因歷史與政治之傾軋，諸多文學書冊與相關史料隨世流失，散迭各處，殊為可惜。為能有系統蒐集、保存、研究這些珍貴的文學資產，文化界人士極力奔走呼籲，希望成立專責機構擔負此任。</w:t>
            </w:r>
          </w:p>
          <w:p w:rsidR="007850F3" w:rsidRPr="007850F3" w:rsidRDefault="007850F3" w:rsidP="007850F3">
            <w:pPr>
              <w:jc w:val="both"/>
              <w:rPr>
                <w:rFonts w:ascii="標楷體" w:eastAsia="標楷體" w:hAnsi="標楷體"/>
              </w:rPr>
            </w:pPr>
          </w:p>
          <w:p w:rsidR="007850F3" w:rsidRPr="007850F3" w:rsidRDefault="007850F3" w:rsidP="007850F3">
            <w:pPr>
              <w:jc w:val="both"/>
              <w:rPr>
                <w:rFonts w:ascii="標楷體" w:eastAsia="標楷體" w:hAnsi="標楷體"/>
              </w:rPr>
            </w:pPr>
            <w:r w:rsidRPr="007850F3">
              <w:rPr>
                <w:rFonts w:ascii="標楷體" w:eastAsia="標楷體" w:hAnsi="標楷體" w:hint="eastAsia"/>
              </w:rPr>
              <w:t>1991年行政院文化建設委員會提出設立「現代文學資料館」計畫，經行政院通過，但1994年調整政策，將「現代文學資料館」併入「文化資產保存研究中心計劃」，設「文學史料組」，後經各界關切台灣文學發展人士奔走，多次協商、溝通，行政院於1998年復將「文學史料組」提升為「國家文學館」，歷經「國家臺灣文學館」等名稱討論，於2007年定名為「國立臺灣文學館」。</w:t>
            </w:r>
          </w:p>
          <w:p w:rsidR="007850F3" w:rsidRPr="007850F3" w:rsidRDefault="007850F3" w:rsidP="007850F3">
            <w:pPr>
              <w:jc w:val="both"/>
              <w:rPr>
                <w:rFonts w:ascii="標楷體" w:eastAsia="標楷體" w:hAnsi="標楷體"/>
              </w:rPr>
            </w:pPr>
          </w:p>
          <w:p w:rsidR="007850F3" w:rsidRPr="007850F3" w:rsidRDefault="007850F3" w:rsidP="007850F3">
            <w:pPr>
              <w:jc w:val="both"/>
              <w:rPr>
                <w:rFonts w:ascii="標楷體" w:eastAsia="標楷體" w:hAnsi="標楷體"/>
              </w:rPr>
            </w:pPr>
            <w:r w:rsidRPr="007850F3">
              <w:rPr>
                <w:rFonts w:ascii="標楷體" w:eastAsia="標楷體" w:hAnsi="標楷體" w:hint="eastAsia"/>
              </w:rPr>
              <w:t>國立台灣文學館館舍是一座擁有百年歷史的國定古蹟，前身為日治時期台南州廳，落成於1916年，戰後曾為空戰供應司令部、台南市政府所用。因經歷不同單位與不同時期使用，致使本建築許多構造因戰爭或年久失修而毀損。在歷任文建會(今文化部)主委的擘畫與支持下，迭經國立文化資產保存研究中心籌備處兩任主任及同仁之努力，自1997年開始進行修復整建工程，至2003年修築成為地上二層、地下三層之建築，面貌煥然一新。2003年10月17日，遙念蔣渭水等先賢成立「台灣文化協會」之精神，「國立台灣文學館」選定此日正式開館營運。</w:t>
            </w:r>
          </w:p>
          <w:p w:rsidR="007850F3" w:rsidRPr="007850F3" w:rsidRDefault="007850F3" w:rsidP="007850F3">
            <w:pPr>
              <w:jc w:val="both"/>
              <w:rPr>
                <w:rFonts w:ascii="標楷體" w:eastAsia="標楷體" w:hAnsi="標楷體"/>
              </w:rPr>
            </w:pPr>
          </w:p>
          <w:p w:rsidR="00984EC0" w:rsidRDefault="007850F3" w:rsidP="007850F3">
            <w:pPr>
              <w:jc w:val="both"/>
              <w:rPr>
                <w:rFonts w:ascii="標楷體" w:eastAsia="標楷體" w:hAnsi="標楷體"/>
              </w:rPr>
            </w:pPr>
            <w:r w:rsidRPr="007850F3">
              <w:rPr>
                <w:rFonts w:ascii="標楷體" w:eastAsia="標楷體" w:hAnsi="標楷體" w:hint="eastAsia"/>
              </w:rPr>
              <w:t>國立台灣文學館為我國第一座國家級的文學博物館，除蒐藏、保存、研究的功能外，更將透過展覽、活動、推廣教育等方式，使文學親近民眾，帶動文化發展。本館另設有文學圖書閱覽區、兒童文學書房等空間，提供多元化服務。</w:t>
            </w:r>
          </w:p>
          <w:p w:rsidR="00913AD1" w:rsidRDefault="00C34221" w:rsidP="005335B0">
            <w:pPr>
              <w:jc w:val="both"/>
              <w:rPr>
                <w:rFonts w:ascii="標楷體" w:eastAsia="標楷體" w:hAnsi="標楷體"/>
              </w:rPr>
            </w:pPr>
            <w:r w:rsidRPr="005335B0">
              <w:rPr>
                <w:rFonts w:ascii="標楷體" w:eastAsia="標楷體" w:hAnsi="標楷體" w:hint="eastAsia"/>
              </w:rPr>
              <w:t>★</w:t>
            </w:r>
            <w:r w:rsidR="00913AD1" w:rsidRPr="005335B0">
              <w:rPr>
                <w:rFonts w:ascii="標楷體" w:eastAsia="標楷體" w:hAnsi="標楷體" w:hint="eastAsia"/>
              </w:rPr>
              <w:t>資料來源：</w:t>
            </w:r>
          </w:p>
          <w:p w:rsidR="007A2C30" w:rsidRDefault="007850F3" w:rsidP="007850F3">
            <w:pPr>
              <w:rPr>
                <w:rFonts w:ascii="標楷體" w:eastAsia="標楷體" w:hAnsi="標楷體"/>
              </w:rPr>
            </w:pPr>
            <w:r>
              <w:rPr>
                <w:rFonts w:ascii="標楷體" w:eastAsia="標楷體" w:hAnsi="標楷體" w:hint="eastAsia"/>
              </w:rPr>
              <w:t>國立台灣文學館</w:t>
            </w:r>
          </w:p>
          <w:p w:rsidR="007850F3" w:rsidRDefault="00141782" w:rsidP="007850F3">
            <w:pPr>
              <w:rPr>
                <w:rFonts w:ascii="標楷體" w:eastAsia="標楷體" w:hAnsi="標楷體"/>
              </w:rPr>
            </w:pPr>
            <w:hyperlink r:id="rId7" w:history="1">
              <w:r w:rsidR="007850F3" w:rsidRPr="00DF7893">
                <w:rPr>
                  <w:rStyle w:val="a4"/>
                  <w:rFonts w:ascii="標楷體" w:eastAsia="標楷體" w:hAnsi="標楷體"/>
                </w:rPr>
                <w:t>http://www.nmtl.gov.tw/index.php?option=com_content&amp;task=view&amp;id=1&amp;Itemid=22</w:t>
              </w:r>
            </w:hyperlink>
          </w:p>
          <w:p w:rsidR="00972D43" w:rsidRDefault="00972D43" w:rsidP="007850F3">
            <w:pPr>
              <w:rPr>
                <w:rFonts w:ascii="標楷體" w:eastAsia="標楷體" w:hAnsi="標楷體"/>
              </w:rPr>
            </w:pPr>
          </w:p>
          <w:p w:rsidR="007850F3" w:rsidRDefault="00950325" w:rsidP="007850F3">
            <w:pPr>
              <w:rPr>
                <w:rFonts w:ascii="標楷體" w:eastAsia="標楷體" w:hAnsi="標楷體"/>
              </w:rPr>
            </w:pPr>
            <w:r>
              <w:rPr>
                <w:rFonts w:ascii="標楷體" w:eastAsia="標楷體" w:hAnsi="標楷體"/>
                <w:noProof/>
              </w:rPr>
              <w:lastRenderedPageBreak/>
              <w:drawing>
                <wp:inline distT="0" distB="0" distL="0" distR="0">
                  <wp:extent cx="5477510" cy="1915160"/>
                  <wp:effectExtent l="19050" t="0" r="8890" b="0"/>
                  <wp:docPr id="1" name="圖片 1" descr="about_1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_1_1_1"/>
                          <pic:cNvPicPr>
                            <a:picLocks noChangeAspect="1" noChangeArrowheads="1"/>
                          </pic:cNvPicPr>
                        </pic:nvPicPr>
                        <pic:blipFill>
                          <a:blip r:embed="rId8" cstate="print"/>
                          <a:srcRect/>
                          <a:stretch>
                            <a:fillRect/>
                          </a:stretch>
                        </pic:blipFill>
                        <pic:spPr bwMode="auto">
                          <a:xfrm>
                            <a:off x="0" y="0"/>
                            <a:ext cx="5477510" cy="1915160"/>
                          </a:xfrm>
                          <a:prstGeom prst="rect">
                            <a:avLst/>
                          </a:prstGeom>
                          <a:noFill/>
                          <a:ln w="9525">
                            <a:noFill/>
                            <a:miter lim="800000"/>
                            <a:headEnd/>
                            <a:tailEnd/>
                          </a:ln>
                        </pic:spPr>
                      </pic:pic>
                    </a:graphicData>
                  </a:graphic>
                </wp:inline>
              </w:drawing>
            </w:r>
          </w:p>
          <w:p w:rsidR="00C34221" w:rsidRPr="005335B0" w:rsidRDefault="00950325" w:rsidP="005335B0">
            <w:pPr>
              <w:jc w:val="both"/>
              <w:rPr>
                <w:rFonts w:ascii="標楷體" w:eastAsia="標楷體" w:hAnsi="標楷體"/>
              </w:rPr>
            </w:pPr>
            <w:r>
              <w:rPr>
                <w:noProof/>
              </w:rPr>
              <w:drawing>
                <wp:anchor distT="0" distB="0" distL="114300" distR="114300" simplePos="0" relativeHeight="251656192" behindDoc="0" locked="0" layoutInCell="1" allowOverlap="1">
                  <wp:simplePos x="0" y="0"/>
                  <wp:positionH relativeFrom="column">
                    <wp:posOffset>1487805</wp:posOffset>
                  </wp:positionH>
                  <wp:positionV relativeFrom="paragraph">
                    <wp:posOffset>83185</wp:posOffset>
                  </wp:positionV>
                  <wp:extent cx="2477135" cy="2770505"/>
                  <wp:effectExtent l="19050" t="0" r="0" b="0"/>
                  <wp:wrapNone/>
                  <wp:docPr id="16" name="圖片 16" descr="about_1_1_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out_1_1_3 (1)"/>
                          <pic:cNvPicPr>
                            <a:picLocks noChangeAspect="1" noChangeArrowheads="1"/>
                          </pic:cNvPicPr>
                        </pic:nvPicPr>
                        <pic:blipFill>
                          <a:blip r:embed="rId9" cstate="print"/>
                          <a:srcRect/>
                          <a:stretch>
                            <a:fillRect/>
                          </a:stretch>
                        </pic:blipFill>
                        <pic:spPr bwMode="auto">
                          <a:xfrm>
                            <a:off x="0" y="0"/>
                            <a:ext cx="2477135" cy="2770505"/>
                          </a:xfrm>
                          <a:prstGeom prst="rect">
                            <a:avLst/>
                          </a:prstGeom>
                          <a:noFill/>
                        </pic:spPr>
                      </pic:pic>
                    </a:graphicData>
                  </a:graphic>
                </wp:anchor>
              </w:drawing>
            </w: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lastRenderedPageBreak/>
              <w:t>相關人權公約條文</w:t>
            </w:r>
          </w:p>
        </w:tc>
        <w:tc>
          <w:tcPr>
            <w:tcW w:w="7786" w:type="dxa"/>
            <w:shd w:val="clear" w:color="auto" w:fill="auto"/>
          </w:tcPr>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【世界人權宣言】</w:t>
            </w:r>
          </w:p>
          <w:p w:rsidR="00477C2C" w:rsidRPr="00477C2C" w:rsidRDefault="00477C2C" w:rsidP="00477C2C">
            <w:pPr>
              <w:tabs>
                <w:tab w:val="left" w:pos="1245"/>
              </w:tabs>
              <w:rPr>
                <w:rFonts w:ascii="標楷體" w:eastAsia="標楷體" w:hAnsi="標楷體"/>
                <w:b/>
              </w:rPr>
            </w:pPr>
            <w:r w:rsidRPr="00477C2C">
              <w:rPr>
                <w:rFonts w:ascii="標楷體" w:eastAsia="標楷體" w:hAnsi="標楷體" w:hint="eastAsia"/>
                <w:b/>
              </w:rPr>
              <w:t>第二十七條</w:t>
            </w:r>
          </w:p>
          <w:p w:rsidR="00477C2C" w:rsidRPr="00477C2C" w:rsidRDefault="00477C2C" w:rsidP="00477C2C">
            <w:pPr>
              <w:tabs>
                <w:tab w:val="left" w:pos="1245"/>
              </w:tabs>
              <w:rPr>
                <w:rFonts w:ascii="標楷體" w:eastAsia="標楷體" w:hAnsi="標楷體"/>
              </w:rPr>
            </w:pPr>
            <w:r w:rsidRPr="00477C2C">
              <w:rPr>
                <w:rFonts w:ascii="標楷體" w:eastAsia="標楷體" w:hAnsi="標楷體" w:hint="eastAsia"/>
              </w:rPr>
              <w:t xml:space="preserve">1.人人有權自由參加社會的文化生活，享受藝術，並分享科學進步及其產生的福利。 </w:t>
            </w:r>
          </w:p>
          <w:p w:rsidR="00094835" w:rsidRDefault="00477C2C" w:rsidP="00477C2C">
            <w:pPr>
              <w:tabs>
                <w:tab w:val="left" w:pos="1245"/>
              </w:tabs>
              <w:rPr>
                <w:rFonts w:ascii="標楷體" w:eastAsia="標楷體" w:hAnsi="標楷體"/>
              </w:rPr>
            </w:pPr>
            <w:r w:rsidRPr="00477C2C">
              <w:rPr>
                <w:rFonts w:ascii="標楷體" w:eastAsia="標楷體" w:hAnsi="標楷體" w:hint="eastAsia"/>
              </w:rPr>
              <w:t>2.人人對由於他所創作的任何科學、文學或美術作品而產生的精神的和物質的利</w:t>
            </w:r>
            <w:r w:rsidR="00094835">
              <w:rPr>
                <w:rFonts w:ascii="標楷體" w:eastAsia="標楷體" w:hAnsi="標楷體" w:hint="eastAsia"/>
              </w:rPr>
              <w:t xml:space="preserve"> </w:t>
            </w:r>
          </w:p>
          <w:p w:rsidR="00C34221" w:rsidRPr="00477C2C" w:rsidRDefault="00094835" w:rsidP="00477C2C">
            <w:pPr>
              <w:tabs>
                <w:tab w:val="left" w:pos="1245"/>
              </w:tabs>
              <w:rPr>
                <w:rFonts w:ascii="標楷體" w:eastAsia="標楷體" w:hAnsi="標楷體"/>
              </w:rPr>
            </w:pPr>
            <w:r>
              <w:rPr>
                <w:rFonts w:ascii="標楷體" w:eastAsia="標楷體" w:hAnsi="標楷體" w:hint="eastAsia"/>
              </w:rPr>
              <w:t xml:space="preserve">  </w:t>
            </w:r>
            <w:r w:rsidR="00477C2C" w:rsidRPr="00477C2C">
              <w:rPr>
                <w:rFonts w:ascii="標楷體" w:eastAsia="標楷體" w:hAnsi="標楷體" w:hint="eastAsia"/>
              </w:rPr>
              <w:t>益，有享受保護的權利。</w:t>
            </w:r>
          </w:p>
          <w:p w:rsidR="00C34221" w:rsidRPr="005335B0" w:rsidRDefault="00C34221" w:rsidP="005335B0">
            <w:pPr>
              <w:tabs>
                <w:tab w:val="left" w:pos="1245"/>
              </w:tabs>
              <w:rPr>
                <w:rFonts w:ascii="標楷體" w:eastAsia="標楷體" w:hAnsi="標楷體"/>
              </w:rPr>
            </w:pPr>
            <w:r w:rsidRPr="005335B0">
              <w:rPr>
                <w:rFonts w:ascii="標楷體" w:eastAsia="標楷體" w:hAnsi="標楷體" w:hint="eastAsia"/>
              </w:rPr>
              <w:t>【</w:t>
            </w:r>
            <w:r w:rsidRPr="005335B0">
              <w:rPr>
                <w:rFonts w:ascii="標楷體" w:eastAsia="標楷體" w:hAnsi="標楷體" w:hint="eastAsia"/>
                <w:b/>
              </w:rPr>
              <w:t>公民與政治權利國際公約</w:t>
            </w:r>
            <w:r w:rsidRPr="005335B0">
              <w:rPr>
                <w:rFonts w:ascii="標楷體" w:eastAsia="標楷體" w:hAnsi="標楷體" w:hint="eastAsia"/>
              </w:rPr>
              <w:t>】</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第十五條（參加文化生活之權利）</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一、本公約締約各國承認人人有權：</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（甲）參加文化生活；</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（乙）享受科學進步及其應用所產生的利益；</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（丙）對其本人的任何科學、文學或藝術作品所產生的精神上和物質上的利益，享受被保護之利。</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二、本公約締約各國為充分實現這一權利而採取的步驟應包括為保存、發展和傳播科學和文化所必需的步驟。</w:t>
            </w:r>
          </w:p>
          <w:p w:rsidR="00094835" w:rsidRPr="00094835"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三、本公約締約各國承擔尊重進行科學研究和創造性活動所不可缺少的自由。</w:t>
            </w:r>
          </w:p>
          <w:p w:rsidR="00332A80" w:rsidRDefault="00094835" w:rsidP="00094835">
            <w:pPr>
              <w:tabs>
                <w:tab w:val="left" w:pos="1245"/>
              </w:tabs>
              <w:ind w:left="480" w:hangingChars="200" w:hanging="480"/>
              <w:rPr>
                <w:rFonts w:ascii="標楷體" w:eastAsia="標楷體" w:hAnsi="標楷體"/>
              </w:rPr>
            </w:pPr>
            <w:r w:rsidRPr="00094835">
              <w:rPr>
                <w:rFonts w:ascii="標楷體" w:eastAsia="標楷體" w:hAnsi="標楷體" w:hint="eastAsia"/>
              </w:rPr>
              <w:t>四、本公約締約各國認識到鼓勵和發展科學與文化方面的國際接觸和合作的好處。</w:t>
            </w:r>
          </w:p>
          <w:p w:rsidR="00094835" w:rsidRPr="004451F7" w:rsidRDefault="00094835" w:rsidP="00094835">
            <w:pPr>
              <w:tabs>
                <w:tab w:val="left" w:pos="1245"/>
              </w:tabs>
              <w:ind w:left="480" w:hangingChars="200" w:hanging="480"/>
              <w:rPr>
                <w:rFonts w:ascii="標楷體" w:eastAsia="標楷體" w:hAnsi="標楷體"/>
              </w:rPr>
            </w:pP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lastRenderedPageBreak/>
              <w:t>建議與人權議題相關能力之指標</w:t>
            </w:r>
          </w:p>
        </w:tc>
        <w:tc>
          <w:tcPr>
            <w:tcW w:w="7786" w:type="dxa"/>
            <w:shd w:val="clear" w:color="auto" w:fill="auto"/>
          </w:tcPr>
          <w:p w:rsidR="00094835" w:rsidRPr="00094835" w:rsidRDefault="00094835" w:rsidP="00094835">
            <w:pPr>
              <w:jc w:val="both"/>
              <w:rPr>
                <w:rFonts w:ascii="標楷體" w:eastAsia="標楷體" w:hAnsi="標楷體"/>
              </w:rPr>
            </w:pPr>
            <w:r w:rsidRPr="00094835">
              <w:rPr>
                <w:rFonts w:ascii="標楷體" w:eastAsia="標楷體" w:hAnsi="標楷體" w:hint="eastAsia"/>
              </w:rPr>
              <w:t>1-1-4說出自己對一個美好世界的想法。</w:t>
            </w:r>
          </w:p>
          <w:p w:rsidR="00332A80" w:rsidRDefault="00094835" w:rsidP="00094835">
            <w:pPr>
              <w:jc w:val="both"/>
              <w:rPr>
                <w:rFonts w:ascii="標楷體" w:eastAsia="標楷體" w:hAnsi="標楷體"/>
              </w:rPr>
            </w:pPr>
            <w:r w:rsidRPr="00094835">
              <w:rPr>
                <w:rFonts w:ascii="標楷體" w:eastAsia="標楷體" w:hAnsi="標楷體" w:hint="eastAsia"/>
              </w:rPr>
              <w:t>1-2-1欣賞、包容個別差異並尊重自己與他人的權利。</w:t>
            </w:r>
          </w:p>
          <w:p w:rsidR="00094835" w:rsidRPr="005335B0" w:rsidRDefault="00094835" w:rsidP="00094835">
            <w:pPr>
              <w:jc w:val="both"/>
              <w:rPr>
                <w:rFonts w:ascii="標楷體" w:eastAsia="標楷體" w:hAnsi="標楷體"/>
              </w:rPr>
            </w:pPr>
            <w:r w:rsidRPr="00094835">
              <w:rPr>
                <w:rFonts w:ascii="標楷體" w:eastAsia="標楷體" w:hAnsi="標楷體" w:hint="eastAsia"/>
              </w:rPr>
              <w:t>2-4-1瞭解文化權並能欣賞、包容文化差異。</w:t>
            </w: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相關的人權價值</w:t>
            </w:r>
          </w:p>
        </w:tc>
        <w:tc>
          <w:tcPr>
            <w:tcW w:w="7786" w:type="dxa"/>
            <w:shd w:val="clear" w:color="auto" w:fill="auto"/>
          </w:tcPr>
          <w:p w:rsidR="00493F6E" w:rsidRDefault="00094835" w:rsidP="005335B0">
            <w:pPr>
              <w:jc w:val="both"/>
              <w:rPr>
                <w:rFonts w:ascii="標楷體" w:eastAsia="標楷體" w:hAnsi="標楷體"/>
              </w:rPr>
            </w:pPr>
            <w:r w:rsidRPr="00094835">
              <w:rPr>
                <w:rFonts w:ascii="標楷體" w:eastAsia="標楷體" w:hAnsi="標楷體" w:hint="eastAsia"/>
              </w:rPr>
              <w:t>人權是普遍的</w:t>
            </w:r>
          </w:p>
          <w:p w:rsidR="00094835" w:rsidRPr="005335B0" w:rsidRDefault="00094835" w:rsidP="005335B0">
            <w:pPr>
              <w:jc w:val="both"/>
              <w:rPr>
                <w:rFonts w:ascii="標楷體" w:eastAsia="標楷體" w:hAnsi="標楷體"/>
              </w:rPr>
            </w:pPr>
            <w:r w:rsidRPr="00094835">
              <w:rPr>
                <w:rFonts w:ascii="標楷體" w:eastAsia="標楷體" w:hAnsi="標楷體" w:hint="eastAsia"/>
              </w:rPr>
              <w:t>尊重與包容</w:t>
            </w: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相關素材（事蹟、經典名句、作品……）</w:t>
            </w:r>
          </w:p>
        </w:tc>
        <w:tc>
          <w:tcPr>
            <w:tcW w:w="7786" w:type="dxa"/>
            <w:shd w:val="clear" w:color="auto" w:fill="auto"/>
          </w:tcPr>
          <w:p w:rsidR="00973102" w:rsidRDefault="00973102" w:rsidP="005335B0">
            <w:pPr>
              <w:pStyle w:val="a5"/>
              <w:ind w:leftChars="0" w:left="0"/>
              <w:rPr>
                <w:b/>
                <w:sz w:val="28"/>
              </w:rPr>
            </w:pPr>
            <w:r w:rsidRPr="005335B0">
              <w:rPr>
                <w:rFonts w:hint="eastAsia"/>
                <w:b/>
                <w:sz w:val="28"/>
              </w:rPr>
              <w:t>★</w:t>
            </w:r>
            <w:r w:rsidR="00CF4586" w:rsidRPr="00CF4586">
              <w:rPr>
                <w:rFonts w:hint="eastAsia"/>
                <w:b/>
                <w:sz w:val="28"/>
              </w:rPr>
              <w:t>緬甸人權文學家Ma Thida參訪文學館</w:t>
            </w:r>
          </w:p>
          <w:p w:rsidR="00CF4586" w:rsidRDefault="00CF4586" w:rsidP="005335B0">
            <w:pPr>
              <w:pStyle w:val="a5"/>
              <w:ind w:leftChars="0" w:left="0"/>
              <w:rPr>
                <w:sz w:val="24"/>
                <w:szCs w:val="24"/>
              </w:rPr>
            </w:pPr>
            <w:r w:rsidRPr="00CF4586">
              <w:rPr>
                <w:rFonts w:hint="eastAsia"/>
                <w:sz w:val="24"/>
                <w:szCs w:val="24"/>
              </w:rPr>
              <w:t>來自緬甸的人權文學家</w:t>
            </w:r>
            <w:r w:rsidRPr="00CF4586">
              <w:rPr>
                <w:sz w:val="24"/>
                <w:szCs w:val="24"/>
              </w:rPr>
              <w:t>Ma Thida</w:t>
            </w:r>
            <w:r w:rsidRPr="00CF4586">
              <w:rPr>
                <w:rFonts w:hint="eastAsia"/>
                <w:sz w:val="24"/>
                <w:szCs w:val="24"/>
              </w:rPr>
              <w:t>，</w:t>
            </w:r>
            <w:r w:rsidRPr="00CF4586">
              <w:rPr>
                <w:sz w:val="24"/>
                <w:szCs w:val="24"/>
              </w:rPr>
              <w:t>3</w:t>
            </w:r>
            <w:r w:rsidRPr="00CF4586">
              <w:rPr>
                <w:rFonts w:hint="eastAsia"/>
                <w:sz w:val="24"/>
                <w:szCs w:val="24"/>
              </w:rPr>
              <w:t>月</w:t>
            </w:r>
            <w:r w:rsidRPr="00CF4586">
              <w:rPr>
                <w:sz w:val="24"/>
                <w:szCs w:val="24"/>
              </w:rPr>
              <w:t>5 </w:t>
            </w:r>
            <w:r w:rsidRPr="00CF4586">
              <w:rPr>
                <w:rFonts w:hint="eastAsia"/>
                <w:sz w:val="24"/>
                <w:szCs w:val="24"/>
              </w:rPr>
              <w:t>日拜訪國立台灣文學館，了解台灣文學的推展現況，本身也是一名外科醫生的</w:t>
            </w:r>
            <w:r w:rsidRPr="00CF4586">
              <w:rPr>
                <w:sz w:val="24"/>
                <w:szCs w:val="24"/>
              </w:rPr>
              <w:t>Ma Thida</w:t>
            </w:r>
            <w:r w:rsidRPr="00CF4586">
              <w:rPr>
                <w:rFonts w:hint="eastAsia"/>
                <w:sz w:val="24"/>
                <w:szCs w:val="24"/>
              </w:rPr>
              <w:t>對於相同醫學人文背景的台灣文學家賴和、蔣渭水等人深感興趣。她期望緬甸未來也能有一座文學館的產生，提供文化重建的養份。</w:t>
            </w:r>
            <w:r w:rsidRPr="00CF4586">
              <w:rPr>
                <w:rFonts w:hint="eastAsia"/>
                <w:sz w:val="24"/>
                <w:szCs w:val="24"/>
              </w:rPr>
              <w:br/>
            </w:r>
            <w:r w:rsidRPr="00CF4586">
              <w:rPr>
                <w:rFonts w:hint="eastAsia"/>
                <w:sz w:val="24"/>
                <w:szCs w:val="24"/>
              </w:rPr>
              <w:br/>
            </w:r>
            <w:r w:rsidRPr="00CF4586">
              <w:rPr>
                <w:sz w:val="24"/>
                <w:szCs w:val="24"/>
              </w:rPr>
              <w:t> Ma Thida</w:t>
            </w:r>
            <w:r w:rsidRPr="00CF4586">
              <w:rPr>
                <w:rFonts w:hint="eastAsia"/>
                <w:sz w:val="24"/>
                <w:szCs w:val="24"/>
              </w:rPr>
              <w:t>女士除了是作家、資深媒體人，也是一名人權鬥士，她自學生時期即投入民主政治運動，亦曾擔任翁山蘇姬的醫生，</w:t>
            </w:r>
            <w:r w:rsidRPr="00CF4586">
              <w:rPr>
                <w:sz w:val="24"/>
                <w:szCs w:val="24"/>
              </w:rPr>
              <w:t>1993</w:t>
            </w:r>
            <w:r w:rsidRPr="00CF4586">
              <w:rPr>
                <w:rFonts w:hint="eastAsia"/>
                <w:sz w:val="24"/>
                <w:szCs w:val="24"/>
              </w:rPr>
              <w:t>年被緬甸政府以支持非法團體為名，被判刑</w:t>
            </w:r>
            <w:r w:rsidRPr="00CF4586">
              <w:rPr>
                <w:sz w:val="24"/>
                <w:szCs w:val="24"/>
              </w:rPr>
              <w:t>20</w:t>
            </w:r>
            <w:r w:rsidRPr="00CF4586">
              <w:rPr>
                <w:rFonts w:hint="eastAsia"/>
                <w:sz w:val="24"/>
                <w:szCs w:val="24"/>
              </w:rPr>
              <w:t>年，後在獄中</w:t>
            </w:r>
            <w:r w:rsidRPr="00CF4586">
              <w:rPr>
                <w:sz w:val="24"/>
                <w:szCs w:val="24"/>
              </w:rPr>
              <w:t>5</w:t>
            </w:r>
            <w:r w:rsidRPr="00CF4586">
              <w:rPr>
                <w:rFonts w:hint="eastAsia"/>
                <w:sz w:val="24"/>
                <w:szCs w:val="24"/>
              </w:rPr>
              <w:t>年的監禁生涯後獲釋。她昨日上午在文化部全球佈局專案辦公室主任李明俐陪同參訪台文館，受到館方熱烈接待，翁館長對</w:t>
            </w:r>
            <w:r w:rsidRPr="00CF4586">
              <w:rPr>
                <w:sz w:val="24"/>
                <w:szCs w:val="24"/>
              </w:rPr>
              <w:t>Thida</w:t>
            </w:r>
            <w:r w:rsidRPr="00CF4586">
              <w:rPr>
                <w:rFonts w:hint="eastAsia"/>
                <w:sz w:val="24"/>
                <w:szCs w:val="24"/>
              </w:rPr>
              <w:t>女士在人權的奮鬥及努力深感佩服。</w:t>
            </w:r>
            <w:r w:rsidRPr="00CF4586">
              <w:rPr>
                <w:sz w:val="24"/>
                <w:szCs w:val="24"/>
              </w:rPr>
              <w:t> </w:t>
            </w:r>
            <w:r w:rsidRPr="00CF4586">
              <w:rPr>
                <w:sz w:val="24"/>
                <w:szCs w:val="24"/>
              </w:rPr>
              <w:br/>
            </w:r>
            <w:r w:rsidRPr="00CF4586">
              <w:rPr>
                <w:sz w:val="24"/>
                <w:szCs w:val="24"/>
              </w:rPr>
              <w:br/>
            </w:r>
            <w:r w:rsidRPr="00CF4586">
              <w:rPr>
                <w:rFonts w:hint="eastAsia"/>
                <w:sz w:val="24"/>
                <w:szCs w:val="24"/>
              </w:rPr>
              <w:t>翁館長提到，台文館成立至今</w:t>
            </w:r>
            <w:r w:rsidRPr="00CF4586">
              <w:rPr>
                <w:sz w:val="24"/>
                <w:szCs w:val="24"/>
              </w:rPr>
              <w:t>10</w:t>
            </w:r>
            <w:r w:rsidRPr="00CF4586">
              <w:rPr>
                <w:rFonts w:hint="eastAsia"/>
                <w:sz w:val="24"/>
                <w:szCs w:val="24"/>
              </w:rPr>
              <w:t>年，當年是在眾多文化人士及文學界的努下爭取下成立，過程備極艱辛，有今日的成果十分難得，他同時說明台文館目前全力推動「中書外譯」的業務，把台灣外學翻譯成各種語言，將台灣文學推廣到世界，希望未來台灣文學也有機會被緬甸民眾閱讀，讓緬甸民眾也能認識台灣文學的美好。</w:t>
            </w:r>
            <w:r w:rsidRPr="00CF4586">
              <w:rPr>
                <w:sz w:val="24"/>
                <w:szCs w:val="24"/>
              </w:rPr>
              <w:t> </w:t>
            </w:r>
            <w:r w:rsidRPr="00CF4586">
              <w:rPr>
                <w:sz w:val="24"/>
                <w:szCs w:val="24"/>
              </w:rPr>
              <w:br/>
            </w:r>
            <w:r w:rsidRPr="00CF4586">
              <w:rPr>
                <w:sz w:val="24"/>
                <w:szCs w:val="24"/>
              </w:rPr>
              <w:br/>
              <w:t>Thida</w:t>
            </w:r>
            <w:r w:rsidRPr="00CF4586">
              <w:rPr>
                <w:rFonts w:hint="eastAsia"/>
                <w:sz w:val="24"/>
                <w:szCs w:val="24"/>
              </w:rPr>
              <w:t>女士表示，緬甸至今沒有兒童文學的發展空間，她正在努力把文學教育放入中小學生的課綱內，讓文學在緬甸札根。為讓青年作家有發表平台，她目前正在籌組緬甸筆會，舉辦文學活動，讓不同世代的作家都有舞台可以發聲，而且不再有審查制度。</w:t>
            </w:r>
          </w:p>
          <w:p w:rsidR="00CF4586" w:rsidRPr="00CF4586" w:rsidRDefault="00CF4586" w:rsidP="005335B0">
            <w:pPr>
              <w:pStyle w:val="a5"/>
              <w:ind w:leftChars="0" w:left="0"/>
              <w:rPr>
                <w:sz w:val="24"/>
                <w:szCs w:val="24"/>
              </w:rPr>
            </w:pPr>
          </w:p>
          <w:p w:rsidR="00CF4586" w:rsidRDefault="00973102" w:rsidP="00CF4586">
            <w:pPr>
              <w:pStyle w:val="a5"/>
              <w:ind w:leftChars="0" w:left="0"/>
              <w:rPr>
                <w:sz w:val="24"/>
                <w:szCs w:val="24"/>
              </w:rPr>
            </w:pPr>
            <w:r w:rsidRPr="005335B0">
              <w:rPr>
                <w:rFonts w:hint="eastAsia"/>
                <w:sz w:val="24"/>
                <w:szCs w:val="24"/>
              </w:rPr>
              <w:t>※資料來源：</w:t>
            </w:r>
          </w:p>
          <w:p w:rsidR="00500A8D" w:rsidRDefault="00500A8D" w:rsidP="00CF4586">
            <w:pPr>
              <w:pStyle w:val="a5"/>
              <w:ind w:leftChars="0" w:left="0"/>
              <w:rPr>
                <w:sz w:val="24"/>
                <w:szCs w:val="24"/>
              </w:rPr>
            </w:pPr>
            <w:r w:rsidRPr="00500A8D">
              <w:rPr>
                <w:rFonts w:hint="eastAsia"/>
                <w:sz w:val="24"/>
                <w:szCs w:val="24"/>
              </w:rPr>
              <w:t>國立台灣文學館</w:t>
            </w:r>
          </w:p>
          <w:p w:rsidR="00CF4586" w:rsidRPr="00CF4586" w:rsidRDefault="00141782" w:rsidP="00CF4586">
            <w:pPr>
              <w:pStyle w:val="a5"/>
              <w:ind w:leftChars="0" w:left="0"/>
              <w:rPr>
                <w:sz w:val="24"/>
                <w:szCs w:val="24"/>
              </w:rPr>
            </w:pPr>
            <w:hyperlink r:id="rId10" w:history="1">
              <w:r w:rsidR="00CF4586" w:rsidRPr="00CF4586">
                <w:rPr>
                  <w:sz w:val="24"/>
                  <w:szCs w:val="24"/>
                </w:rPr>
                <w:t>http://www.nmtl.gov.tw/index.php?option=com_content&amp;task=view&amp;id=2958&amp;Itemid=15</w:t>
              </w:r>
            </w:hyperlink>
          </w:p>
          <w:p w:rsidR="00973102" w:rsidRDefault="00CF4586" w:rsidP="00CF4586">
            <w:pPr>
              <w:pStyle w:val="a5"/>
              <w:ind w:leftChars="0" w:left="0"/>
              <w:rPr>
                <w:sz w:val="28"/>
              </w:rPr>
            </w:pPr>
            <w:r w:rsidRPr="005335B0">
              <w:rPr>
                <w:rFonts w:hint="eastAsia"/>
                <w:sz w:val="28"/>
              </w:rPr>
              <w:t xml:space="preserve"> </w:t>
            </w:r>
          </w:p>
          <w:p w:rsidR="00094835" w:rsidRDefault="00094835" w:rsidP="00CF4586">
            <w:pPr>
              <w:pStyle w:val="a5"/>
              <w:ind w:leftChars="0" w:left="0"/>
              <w:rPr>
                <w:sz w:val="28"/>
              </w:rPr>
            </w:pPr>
            <w:r>
              <w:rPr>
                <w:rFonts w:hint="eastAsia"/>
                <w:sz w:val="28"/>
              </w:rPr>
              <w:t>★</w:t>
            </w:r>
            <w:r w:rsidRPr="00094835">
              <w:rPr>
                <w:rFonts w:hint="eastAsia"/>
                <w:sz w:val="28"/>
              </w:rPr>
              <w:t>賴和</w:t>
            </w:r>
          </w:p>
          <w:p w:rsidR="00094835" w:rsidRDefault="00094835" w:rsidP="00CF4586">
            <w:pPr>
              <w:pStyle w:val="a5"/>
              <w:ind w:leftChars="0" w:left="0"/>
              <w:rPr>
                <w:sz w:val="24"/>
                <w:szCs w:val="24"/>
              </w:rPr>
            </w:pPr>
            <w:r w:rsidRPr="00094835">
              <w:rPr>
                <w:rFonts w:hint="eastAsia"/>
                <w:sz w:val="24"/>
                <w:szCs w:val="24"/>
              </w:rPr>
              <w:t>賴和（1894年5月28日－1943年1月31日），台灣彰化人。原名賴河，筆名有懶雲、甫三、安都生、灰、走街先。本職是醫生，但是卻在文學領域留下盛名，尤其是他的詩作，被公認是台灣最有代表性的民族詩人之一。賴和不但是台灣日治時期重要的作家，同時也是台灣1930年代作家所公認的文壇領袖，曾經催生、主編過《台灣民報》的文藝欄。由於他提攜後進不遺餘力，因此他的同輩楊守愚說他是「台灣新文藝園地的開墾者」與「台灣小說界的褓母」，並在「光復慶祝後二日」一文中讚揚他為「台灣的魯迅」。曾經主編新潮文庫的醫生文人林衡哲，則尊稱賴和為「台灣現代文學之父」。</w:t>
            </w:r>
            <w:r>
              <w:rPr>
                <w:sz w:val="24"/>
                <w:szCs w:val="24"/>
              </w:rPr>
              <w:t>……</w:t>
            </w:r>
            <w:r>
              <w:rPr>
                <w:rFonts w:hint="eastAsia"/>
                <w:sz w:val="24"/>
                <w:szCs w:val="24"/>
              </w:rPr>
              <w:t>賴</w:t>
            </w:r>
            <w:r w:rsidRPr="00094835">
              <w:rPr>
                <w:rFonts w:hint="eastAsia"/>
                <w:sz w:val="24"/>
                <w:szCs w:val="24"/>
              </w:rPr>
              <w:t>和在市仔尾(今彰化市境內)開設賴和醫院，由於受到中國白</w:t>
            </w:r>
            <w:r w:rsidRPr="00094835">
              <w:rPr>
                <w:rFonts w:hint="eastAsia"/>
                <w:sz w:val="24"/>
                <w:szCs w:val="24"/>
              </w:rPr>
              <w:lastRenderedPageBreak/>
              <w:t>話文運動的刺激，致力於推動台灣的新文學運動。賴和與現今的醫師形象不同，他習慣穿短衣短褲，留八字鬍，行為質樸有禮，說話謙虛得體；醫德很高，志不在賺錢，對貧戶經常減免醫療費，甚至贈送昂貴藥品，因此彰化市民尊稱「華佗再世」、「彰化媽祖」與「和仔仙」。</w:t>
            </w:r>
          </w:p>
          <w:p w:rsidR="00C21FBC" w:rsidRPr="00094835" w:rsidRDefault="00C21FBC" w:rsidP="00CF4586">
            <w:pPr>
              <w:pStyle w:val="a5"/>
              <w:ind w:leftChars="0" w:left="0"/>
              <w:rPr>
                <w:sz w:val="24"/>
                <w:szCs w:val="24"/>
              </w:rPr>
            </w:pPr>
          </w:p>
          <w:p w:rsidR="00F83B7B" w:rsidRDefault="00F83B7B" w:rsidP="004451F7">
            <w:pPr>
              <w:rPr>
                <w:rFonts w:ascii="標楷體" w:eastAsia="標楷體" w:hAnsi="標楷體"/>
              </w:rPr>
            </w:pPr>
            <w:r w:rsidRPr="00F83B7B">
              <w:rPr>
                <w:rFonts w:ascii="標楷體" w:eastAsia="標楷體" w:hAnsi="標楷體" w:hint="eastAsia"/>
              </w:rPr>
              <w:t>※資料來源：</w:t>
            </w:r>
          </w:p>
          <w:p w:rsidR="00500A8D" w:rsidRDefault="00500A8D" w:rsidP="004451F7">
            <w:pPr>
              <w:rPr>
                <w:rFonts w:ascii="標楷體" w:eastAsia="標楷體" w:hAnsi="標楷體"/>
              </w:rPr>
            </w:pPr>
            <w:r w:rsidRPr="00500A8D">
              <w:rPr>
                <w:rFonts w:ascii="標楷體" w:eastAsia="標楷體" w:hAnsi="標楷體" w:hint="eastAsia"/>
              </w:rPr>
              <w:t>維基百科</w:t>
            </w:r>
          </w:p>
          <w:p w:rsidR="00C216C3" w:rsidRDefault="00141782" w:rsidP="004451F7">
            <w:pPr>
              <w:rPr>
                <w:rFonts w:ascii="標楷體" w:eastAsia="標楷體" w:hAnsi="標楷體"/>
              </w:rPr>
            </w:pPr>
            <w:hyperlink r:id="rId11" w:history="1">
              <w:r w:rsidR="00EE0AB7" w:rsidRPr="0057003B">
                <w:rPr>
                  <w:rStyle w:val="a4"/>
                  <w:rFonts w:ascii="標楷體" w:eastAsia="標楷體" w:hAnsi="標楷體"/>
                </w:rPr>
                <w:t>http://zh.wikipedia.org/wiki/%E8%B3%B4%E5%92%8C</w:t>
              </w:r>
            </w:hyperlink>
          </w:p>
          <w:p w:rsidR="00EE0AB7" w:rsidRDefault="00EE0AB7" w:rsidP="004451F7">
            <w:pPr>
              <w:rPr>
                <w:rFonts w:ascii="標楷體" w:eastAsia="標楷體" w:hAnsi="標楷體"/>
              </w:rPr>
            </w:pPr>
          </w:p>
          <w:p w:rsidR="00EE0AB7" w:rsidRDefault="00EE0AB7" w:rsidP="00EE0AB7">
            <w:pPr>
              <w:pStyle w:val="a5"/>
              <w:ind w:leftChars="0" w:left="0"/>
              <w:rPr>
                <w:sz w:val="28"/>
              </w:rPr>
            </w:pPr>
            <w:r w:rsidRPr="00EE0AB7">
              <w:rPr>
                <w:rFonts w:hint="eastAsia"/>
                <w:sz w:val="28"/>
              </w:rPr>
              <w:t>★賴和文教基金會</w:t>
            </w:r>
          </w:p>
          <w:p w:rsidR="00EE0AB7" w:rsidRDefault="00EE0AB7" w:rsidP="00EE0AB7">
            <w:pPr>
              <w:pStyle w:val="a5"/>
              <w:ind w:leftChars="0" w:left="0"/>
              <w:rPr>
                <w:sz w:val="24"/>
                <w:szCs w:val="24"/>
              </w:rPr>
            </w:pPr>
            <w:r w:rsidRPr="00EE0AB7">
              <w:rPr>
                <w:rFonts w:hint="eastAsia"/>
                <w:sz w:val="24"/>
                <w:szCs w:val="24"/>
              </w:rPr>
              <w:t>賴和文教基金會暨賴和紀念館成立的宗旨即在於秉持賴和精神，發揚台灣文化。為了讓文化紮根、落實本土教育，幾年來一直持續不斷地積極推動舉辦各類相關活動，希望透過這些文藝活動，能夠讓文學種子回歸到孕育生長的土地上，發芽並且茁壯。讓民眾重新認識台灣的人文之美，重視自己的鄉土，關心社會周遭變動事務，進而對台灣文學、文化有更深入的瞭解，正確的去認識台灣文學中本存的文化美感。</w:t>
            </w:r>
          </w:p>
          <w:p w:rsidR="00C21FBC" w:rsidRDefault="00C21FBC" w:rsidP="00EE0AB7">
            <w:pPr>
              <w:pStyle w:val="a5"/>
              <w:ind w:leftChars="0" w:left="0"/>
              <w:rPr>
                <w:sz w:val="24"/>
                <w:szCs w:val="24"/>
              </w:rPr>
            </w:pPr>
          </w:p>
          <w:p w:rsidR="00EE0AB7" w:rsidRDefault="00EE0AB7" w:rsidP="00EE0AB7">
            <w:pPr>
              <w:pStyle w:val="a5"/>
              <w:ind w:leftChars="0" w:left="0"/>
              <w:rPr>
                <w:sz w:val="24"/>
                <w:szCs w:val="24"/>
              </w:rPr>
            </w:pPr>
            <w:r w:rsidRPr="00EE0AB7">
              <w:rPr>
                <w:rFonts w:hint="eastAsia"/>
                <w:sz w:val="24"/>
                <w:szCs w:val="24"/>
              </w:rPr>
              <w:t>※資料來源：</w:t>
            </w:r>
          </w:p>
          <w:p w:rsidR="00076667" w:rsidRDefault="00076667" w:rsidP="00EE0AB7">
            <w:pPr>
              <w:pStyle w:val="a5"/>
              <w:ind w:leftChars="0" w:left="0"/>
              <w:rPr>
                <w:sz w:val="24"/>
                <w:szCs w:val="24"/>
              </w:rPr>
            </w:pPr>
            <w:r w:rsidRPr="00076667">
              <w:rPr>
                <w:rFonts w:hint="eastAsia"/>
                <w:sz w:val="24"/>
                <w:szCs w:val="24"/>
              </w:rPr>
              <w:t>賴和文教基金會</w:t>
            </w:r>
          </w:p>
          <w:p w:rsidR="00EE0AB7" w:rsidRDefault="00141782" w:rsidP="00EE0AB7">
            <w:pPr>
              <w:pStyle w:val="a5"/>
              <w:ind w:leftChars="0" w:left="0"/>
              <w:rPr>
                <w:sz w:val="24"/>
                <w:szCs w:val="24"/>
              </w:rPr>
            </w:pPr>
            <w:hyperlink r:id="rId12" w:history="1">
              <w:r w:rsidR="00EE0AB7" w:rsidRPr="0057003B">
                <w:rPr>
                  <w:rStyle w:val="a4"/>
                  <w:sz w:val="24"/>
                  <w:szCs w:val="24"/>
                </w:rPr>
                <w:t>http://www.laiho.org.tw/index.php?option=com_content&amp;task=category&amp;sectionid=8&amp;id=25&amp;Itemid=47</w:t>
              </w:r>
            </w:hyperlink>
          </w:p>
          <w:p w:rsidR="00EE0AB7" w:rsidRDefault="00EE0AB7" w:rsidP="00EE0AB7">
            <w:pPr>
              <w:pStyle w:val="a5"/>
              <w:ind w:leftChars="0" w:left="0"/>
            </w:pPr>
          </w:p>
          <w:p w:rsidR="00C91CC3" w:rsidRDefault="00C91CC3" w:rsidP="00EE0AB7">
            <w:pPr>
              <w:pStyle w:val="a5"/>
              <w:ind w:leftChars="0" w:left="0"/>
            </w:pPr>
            <w:r>
              <w:rPr>
                <w:rFonts w:hint="eastAsia"/>
              </w:rPr>
              <w:t>★</w:t>
            </w:r>
            <w:r w:rsidRPr="00C91CC3">
              <w:rPr>
                <w:rFonts w:hint="eastAsia"/>
              </w:rPr>
              <w:t>蔣渭水</w:t>
            </w:r>
          </w:p>
          <w:p w:rsidR="00C91CC3" w:rsidRPr="00C91CC3" w:rsidRDefault="00C91CC3" w:rsidP="00C91CC3">
            <w:pPr>
              <w:pStyle w:val="a5"/>
              <w:ind w:leftChars="0" w:left="0"/>
              <w:rPr>
                <w:sz w:val="24"/>
                <w:szCs w:val="24"/>
              </w:rPr>
            </w:pPr>
            <w:r w:rsidRPr="00C91CC3">
              <w:rPr>
                <w:rFonts w:hint="eastAsia"/>
                <w:sz w:val="24"/>
                <w:szCs w:val="24"/>
              </w:rPr>
              <w:t>蔣渭水（1891年2月8日－1931年8月5日[註 1]），字雪谷，台灣宜蘭人。為台灣日據時期的醫師與民族運動者，曾創立台灣文化協會與台灣民眾黨，是反日本殖民運動中，重要的領導領袖[3]。</w:t>
            </w:r>
          </w:p>
          <w:p w:rsidR="00C91CC3" w:rsidRPr="00C91CC3" w:rsidRDefault="00C91CC3" w:rsidP="00C91CC3">
            <w:pPr>
              <w:pStyle w:val="a5"/>
              <w:ind w:leftChars="0" w:left="0"/>
              <w:rPr>
                <w:sz w:val="24"/>
                <w:szCs w:val="24"/>
              </w:rPr>
            </w:pPr>
            <w:r w:rsidRPr="00C91CC3">
              <w:rPr>
                <w:rFonts w:hint="eastAsia"/>
                <w:sz w:val="24"/>
                <w:szCs w:val="24"/>
              </w:rPr>
              <w:t>蔣渭水一生有4項工作影響台灣歷史：1）創立第一個全臺性的文化組織「臺灣文化協會」2）創立第一份臺灣人的報紙「《臺灣民報》」3）創立第一個現代意義的政黨「臺灣民眾黨」4）創立一個全臺性的工會組織「臺灣工友總聯盟」。其中，1921年10月17日成立的臺灣文化協會發軔最早，立會明列以「助長臺灣文化之發展為目的」。他一系列推展民眾文化提升之作為，包含發行文化會報、辦理文化義塾、舉辦文化講演團、設立文化書局、開辦各類知識講習會與夏季講習會等，不但成為1920年代臺灣啟蒙運動之濫觴，更是20世紀臺灣「本土文化」與「世界文明」接軌的先驅。</w:t>
            </w:r>
          </w:p>
          <w:p w:rsidR="00C91CC3" w:rsidRDefault="00C91CC3" w:rsidP="00C91CC3">
            <w:pPr>
              <w:pStyle w:val="a5"/>
              <w:ind w:leftChars="0" w:left="0"/>
              <w:rPr>
                <w:sz w:val="24"/>
                <w:szCs w:val="24"/>
              </w:rPr>
            </w:pPr>
            <w:r w:rsidRPr="00C91CC3">
              <w:rPr>
                <w:rFonts w:hint="eastAsia"/>
                <w:sz w:val="24"/>
                <w:szCs w:val="24"/>
              </w:rPr>
              <w:t>當時人稱「文化頭」，他卻自比為「文化鐘鼓手」與「文協機關手」的蔣渭水，實可稱為啟蒙臺灣文化的「臺灣新文化運動之父」。</w:t>
            </w:r>
          </w:p>
          <w:p w:rsidR="00C21FBC" w:rsidRDefault="00C21FBC" w:rsidP="00C91CC3">
            <w:pPr>
              <w:pStyle w:val="a5"/>
              <w:ind w:leftChars="0" w:left="0"/>
              <w:rPr>
                <w:sz w:val="24"/>
                <w:szCs w:val="24"/>
              </w:rPr>
            </w:pPr>
          </w:p>
          <w:p w:rsidR="00C91CC3" w:rsidRDefault="00C91CC3" w:rsidP="00C91CC3">
            <w:pPr>
              <w:pStyle w:val="a5"/>
              <w:ind w:leftChars="0" w:left="0"/>
              <w:rPr>
                <w:sz w:val="24"/>
                <w:szCs w:val="24"/>
              </w:rPr>
            </w:pPr>
            <w:r w:rsidRPr="00C91CC3">
              <w:rPr>
                <w:rFonts w:hint="eastAsia"/>
                <w:sz w:val="24"/>
                <w:szCs w:val="24"/>
              </w:rPr>
              <w:t>※資料來源：</w:t>
            </w:r>
          </w:p>
          <w:p w:rsidR="00076667" w:rsidRDefault="00076667" w:rsidP="00C91CC3">
            <w:pPr>
              <w:pStyle w:val="a5"/>
              <w:ind w:leftChars="0" w:left="0"/>
              <w:rPr>
                <w:sz w:val="24"/>
                <w:szCs w:val="24"/>
              </w:rPr>
            </w:pPr>
            <w:r w:rsidRPr="00076667">
              <w:rPr>
                <w:rFonts w:hint="eastAsia"/>
                <w:sz w:val="24"/>
                <w:szCs w:val="24"/>
              </w:rPr>
              <w:t>維基百科</w:t>
            </w:r>
          </w:p>
          <w:p w:rsidR="00C91CC3" w:rsidRPr="00C91CC3" w:rsidRDefault="00C91CC3" w:rsidP="00C91CC3">
            <w:pPr>
              <w:pStyle w:val="a5"/>
              <w:ind w:leftChars="0" w:left="0"/>
              <w:rPr>
                <w:sz w:val="24"/>
                <w:szCs w:val="24"/>
              </w:rPr>
            </w:pPr>
            <w:r w:rsidRPr="00C91CC3">
              <w:rPr>
                <w:sz w:val="24"/>
                <w:szCs w:val="24"/>
              </w:rPr>
              <w:t>http://zh.wikipedia.org/wiki/%E8%94%A3%E6%B8%AD%E6%B0%B4</w:t>
            </w:r>
          </w:p>
          <w:p w:rsidR="00C91CC3" w:rsidRDefault="00C91CC3" w:rsidP="00C91CC3">
            <w:pPr>
              <w:pStyle w:val="a5"/>
              <w:ind w:leftChars="0" w:left="0"/>
            </w:pPr>
          </w:p>
          <w:p w:rsidR="00076667" w:rsidRDefault="00076667" w:rsidP="00C91CC3">
            <w:pPr>
              <w:pStyle w:val="a5"/>
              <w:ind w:leftChars="0" w:left="0"/>
            </w:pPr>
          </w:p>
          <w:p w:rsidR="00076667" w:rsidRDefault="00076667" w:rsidP="00C91CC3">
            <w:pPr>
              <w:pStyle w:val="a5"/>
              <w:ind w:leftChars="0" w:left="0"/>
            </w:pPr>
          </w:p>
          <w:p w:rsidR="00C91CC3" w:rsidRDefault="00C91CC3" w:rsidP="00C91CC3">
            <w:pPr>
              <w:pStyle w:val="a5"/>
              <w:ind w:leftChars="0" w:left="0"/>
            </w:pPr>
            <w:r w:rsidRPr="00C91CC3">
              <w:rPr>
                <w:rFonts w:hint="eastAsia"/>
              </w:rPr>
              <w:lastRenderedPageBreak/>
              <w:t>★蔣渭水</w:t>
            </w:r>
            <w:r>
              <w:rPr>
                <w:rFonts w:hint="eastAsia"/>
              </w:rPr>
              <w:t>文化基</w:t>
            </w:r>
            <w:r w:rsidR="00C21FBC">
              <w:rPr>
                <w:rFonts w:hint="eastAsia"/>
              </w:rPr>
              <w:t>金會</w:t>
            </w:r>
          </w:p>
          <w:p w:rsidR="00C21FBC" w:rsidRPr="00C21FBC" w:rsidRDefault="00C21FBC" w:rsidP="00C21FBC">
            <w:pPr>
              <w:pStyle w:val="a5"/>
              <w:ind w:leftChars="0" w:left="0"/>
              <w:rPr>
                <w:sz w:val="24"/>
                <w:szCs w:val="24"/>
              </w:rPr>
            </w:pPr>
            <w:r>
              <w:rPr>
                <w:rFonts w:hint="eastAsia"/>
                <w:sz w:val="24"/>
                <w:szCs w:val="24"/>
              </w:rPr>
              <w:t xml:space="preserve">         </w:t>
            </w:r>
            <w:r w:rsidRPr="00C21FBC">
              <w:rPr>
                <w:rFonts w:hint="eastAsia"/>
                <w:sz w:val="24"/>
                <w:szCs w:val="24"/>
              </w:rPr>
              <w:t>蔣渭水診台灣創文協　組政黨建工聯促自覺</w:t>
            </w:r>
          </w:p>
          <w:p w:rsidR="00C21FBC" w:rsidRPr="00C21FBC" w:rsidRDefault="00C21FBC" w:rsidP="00C21FBC">
            <w:pPr>
              <w:pStyle w:val="a5"/>
              <w:ind w:leftChars="0" w:left="0"/>
              <w:rPr>
                <w:sz w:val="24"/>
                <w:szCs w:val="24"/>
              </w:rPr>
            </w:pPr>
            <w:r>
              <w:rPr>
                <w:rFonts w:hint="eastAsia"/>
                <w:sz w:val="24"/>
                <w:szCs w:val="24"/>
              </w:rPr>
              <w:t xml:space="preserve">         </w:t>
            </w:r>
            <w:r w:rsidRPr="00C21FBC">
              <w:rPr>
                <w:rFonts w:hint="eastAsia"/>
                <w:sz w:val="24"/>
                <w:szCs w:val="24"/>
              </w:rPr>
              <w:t>興文化揚民主爭人權　基金會傳精神開新頁</w:t>
            </w:r>
          </w:p>
          <w:p w:rsidR="00C21FBC" w:rsidRDefault="00C21FBC" w:rsidP="00C21FBC">
            <w:pPr>
              <w:pStyle w:val="a5"/>
              <w:ind w:leftChars="0" w:left="0"/>
              <w:rPr>
                <w:rFonts w:ascii="新細明體" w:eastAsia="新細明體" w:hAnsi="新細明體"/>
                <w:sz w:val="24"/>
                <w:szCs w:val="24"/>
              </w:rPr>
            </w:pPr>
            <w:r w:rsidRPr="00C21FBC">
              <w:rPr>
                <w:rFonts w:hint="eastAsia"/>
                <w:sz w:val="24"/>
                <w:szCs w:val="24"/>
              </w:rPr>
              <w:t>提升台灣文化、涵養藝術趣味，並紀念、發揚蔣渭水先生及其同時代先覺者之各種志業為宗旨</w:t>
            </w:r>
            <w:r>
              <w:rPr>
                <w:rFonts w:ascii="新細明體" w:eastAsia="新細明體" w:hAnsi="新細明體" w:hint="eastAsia"/>
                <w:sz w:val="24"/>
                <w:szCs w:val="24"/>
              </w:rPr>
              <w:t>。</w:t>
            </w:r>
          </w:p>
          <w:p w:rsidR="00076667" w:rsidRDefault="00076667" w:rsidP="00C21FBC">
            <w:pPr>
              <w:pStyle w:val="a5"/>
              <w:ind w:leftChars="0" w:left="0"/>
              <w:rPr>
                <w:sz w:val="24"/>
                <w:szCs w:val="24"/>
              </w:rPr>
            </w:pPr>
          </w:p>
          <w:p w:rsidR="00C21FBC" w:rsidRDefault="00C21FBC" w:rsidP="00C21FBC">
            <w:pPr>
              <w:pStyle w:val="a5"/>
              <w:ind w:leftChars="0" w:left="0"/>
              <w:rPr>
                <w:sz w:val="24"/>
                <w:szCs w:val="24"/>
              </w:rPr>
            </w:pPr>
            <w:r w:rsidRPr="00C21FBC">
              <w:rPr>
                <w:rFonts w:hint="eastAsia"/>
                <w:sz w:val="24"/>
                <w:szCs w:val="24"/>
              </w:rPr>
              <w:t>※資料來源：</w:t>
            </w:r>
          </w:p>
          <w:p w:rsidR="00076667" w:rsidRPr="00C21FBC" w:rsidRDefault="00076667" w:rsidP="00C21FBC">
            <w:pPr>
              <w:pStyle w:val="a5"/>
              <w:ind w:leftChars="0" w:left="0"/>
              <w:rPr>
                <w:sz w:val="24"/>
                <w:szCs w:val="24"/>
              </w:rPr>
            </w:pPr>
            <w:r w:rsidRPr="00076667">
              <w:rPr>
                <w:rFonts w:hint="eastAsia"/>
                <w:sz w:val="24"/>
                <w:szCs w:val="24"/>
              </w:rPr>
              <w:t>蔣渭水文化基金會</w:t>
            </w:r>
          </w:p>
          <w:p w:rsidR="00C91CC3" w:rsidRDefault="00141782" w:rsidP="00C21FBC">
            <w:pPr>
              <w:pStyle w:val="a5"/>
              <w:ind w:leftChars="0" w:left="0"/>
              <w:rPr>
                <w:sz w:val="24"/>
                <w:szCs w:val="24"/>
              </w:rPr>
            </w:pPr>
            <w:hyperlink r:id="rId13" w:history="1">
              <w:r w:rsidR="00C21FBC" w:rsidRPr="0057003B">
                <w:rPr>
                  <w:rStyle w:val="a4"/>
                  <w:sz w:val="24"/>
                  <w:szCs w:val="24"/>
                </w:rPr>
                <w:t>http://weishui.org/index-2.html</w:t>
              </w:r>
            </w:hyperlink>
          </w:p>
          <w:p w:rsidR="00C21FBC" w:rsidRPr="00C21FBC" w:rsidRDefault="00C21FBC" w:rsidP="00C21FBC">
            <w:pPr>
              <w:pStyle w:val="a5"/>
              <w:ind w:leftChars="0" w:left="0"/>
            </w:pPr>
          </w:p>
        </w:tc>
      </w:tr>
      <w:tr w:rsidR="00CF4586"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lastRenderedPageBreak/>
              <w:t>課程發展建議（開放式作答）</w:t>
            </w:r>
          </w:p>
        </w:tc>
        <w:tc>
          <w:tcPr>
            <w:tcW w:w="7786" w:type="dxa"/>
            <w:shd w:val="clear" w:color="auto" w:fill="auto"/>
          </w:tcPr>
          <w:p w:rsidR="00EF48CC" w:rsidRDefault="00EF48CC" w:rsidP="005335B0">
            <w:pPr>
              <w:jc w:val="both"/>
              <w:rPr>
                <w:rFonts w:ascii="標楷體" w:eastAsia="標楷體" w:hAnsi="標楷體"/>
              </w:rPr>
            </w:pPr>
            <w:r>
              <w:rPr>
                <w:rFonts w:ascii="標楷體" w:eastAsia="標楷體" w:hAnsi="標楷體" w:hint="eastAsia"/>
              </w:rPr>
              <w:t>1.文化的傳承是一個民族的基本要素</w:t>
            </w:r>
            <w:r>
              <w:rPr>
                <w:rFonts w:ascii="新細明體" w:hAnsi="新細明體" w:hint="eastAsia"/>
              </w:rPr>
              <w:t>。</w:t>
            </w:r>
            <w:r>
              <w:rPr>
                <w:rFonts w:ascii="標楷體" w:eastAsia="標楷體" w:hAnsi="標楷體" w:hint="eastAsia"/>
              </w:rPr>
              <w:t>沒有文化的延續</w:t>
            </w:r>
            <w:r>
              <w:rPr>
                <w:rFonts w:ascii="新細明體" w:hAnsi="新細明體" w:hint="eastAsia"/>
              </w:rPr>
              <w:t>，</w:t>
            </w:r>
            <w:r>
              <w:rPr>
                <w:rFonts w:ascii="標楷體" w:eastAsia="標楷體" w:hAnsi="標楷體" w:hint="eastAsia"/>
              </w:rPr>
              <w:t xml:space="preserve">民族就只剩下名字而失去 </w:t>
            </w:r>
          </w:p>
          <w:p w:rsidR="003142B1" w:rsidRDefault="00EF48CC" w:rsidP="005335B0">
            <w:pPr>
              <w:jc w:val="both"/>
              <w:rPr>
                <w:rFonts w:ascii="標楷體" w:eastAsia="標楷體" w:hAnsi="標楷體"/>
              </w:rPr>
            </w:pPr>
            <w:r>
              <w:rPr>
                <w:rFonts w:ascii="標楷體" w:eastAsia="標楷體" w:hAnsi="標楷體" w:hint="eastAsia"/>
              </w:rPr>
              <w:t xml:space="preserve">  了實質</w:t>
            </w:r>
            <w:r>
              <w:rPr>
                <w:rFonts w:ascii="新細明體" w:hAnsi="新細明體" w:hint="eastAsia"/>
              </w:rPr>
              <w:t>。</w:t>
            </w:r>
            <w:r w:rsidRPr="00EF48CC">
              <w:rPr>
                <w:rFonts w:ascii="標楷體" w:eastAsia="標楷體" w:hAnsi="標楷體" w:hint="eastAsia"/>
              </w:rPr>
              <w:t>台灣文學館</w:t>
            </w:r>
            <w:r>
              <w:rPr>
                <w:rFonts w:ascii="標楷體" w:eastAsia="標楷體" w:hAnsi="標楷體" w:hint="eastAsia"/>
              </w:rPr>
              <w:t>的設立即為文化延續之一部分</w:t>
            </w:r>
            <w:r>
              <w:rPr>
                <w:rFonts w:ascii="新細明體" w:hAnsi="新細明體" w:hint="eastAsia"/>
              </w:rPr>
              <w:t>。</w:t>
            </w:r>
          </w:p>
          <w:p w:rsidR="00AC006E" w:rsidRDefault="00EF48CC" w:rsidP="005335B0">
            <w:pPr>
              <w:jc w:val="both"/>
              <w:rPr>
                <w:rFonts w:ascii="標楷體" w:eastAsia="標楷體" w:hAnsi="標楷體"/>
              </w:rPr>
            </w:pPr>
            <w:r>
              <w:rPr>
                <w:rFonts w:ascii="標楷體" w:eastAsia="標楷體" w:hAnsi="標楷體" w:hint="eastAsia"/>
              </w:rPr>
              <w:t>2.</w:t>
            </w:r>
            <w:r w:rsidRPr="00EF48CC">
              <w:rPr>
                <w:rFonts w:ascii="標楷體" w:eastAsia="標楷體" w:hAnsi="標楷體" w:hint="eastAsia"/>
              </w:rPr>
              <w:t>世界人權宣言</w:t>
            </w:r>
            <w:r>
              <w:rPr>
                <w:rFonts w:ascii="新細明體" w:hAnsi="新細明體" w:hint="eastAsia"/>
              </w:rPr>
              <w:t>、</w:t>
            </w:r>
            <w:r w:rsidRPr="009D0D51">
              <w:rPr>
                <w:rFonts w:ascii="標楷體" w:eastAsia="標楷體" w:hAnsi="標楷體" w:hint="eastAsia"/>
              </w:rPr>
              <w:t>公民與政治權利國際公約對文化權</w:t>
            </w:r>
            <w:r w:rsidR="009D0D51" w:rsidRPr="009D0D51">
              <w:rPr>
                <w:rFonts w:ascii="標楷體" w:eastAsia="標楷體" w:hAnsi="標楷體" w:hint="eastAsia"/>
              </w:rPr>
              <w:t>的</w:t>
            </w:r>
            <w:r w:rsidR="009D0D51">
              <w:rPr>
                <w:rFonts w:ascii="標楷體" w:eastAsia="標楷體" w:hAnsi="標楷體" w:hint="eastAsia"/>
              </w:rPr>
              <w:t>保障</w:t>
            </w:r>
            <w:r w:rsidR="00AC006E">
              <w:rPr>
                <w:rFonts w:ascii="新細明體" w:hAnsi="新細明體" w:hint="eastAsia"/>
              </w:rPr>
              <w:t>，</w:t>
            </w:r>
            <w:r w:rsidR="009D0D51">
              <w:rPr>
                <w:rFonts w:ascii="標楷體" w:eastAsia="標楷體" w:hAnsi="標楷體" w:hint="eastAsia"/>
              </w:rPr>
              <w:t>是介紹人權概念較不</w:t>
            </w:r>
          </w:p>
          <w:p w:rsidR="00AC006E" w:rsidRDefault="00AC006E" w:rsidP="005335B0">
            <w:pPr>
              <w:jc w:val="both"/>
              <w:rPr>
                <w:rFonts w:ascii="標楷體" w:eastAsia="標楷體" w:hAnsi="標楷體"/>
              </w:rPr>
            </w:pPr>
            <w:r>
              <w:rPr>
                <w:rFonts w:ascii="標楷體" w:eastAsia="標楷體" w:hAnsi="標楷體" w:hint="eastAsia"/>
              </w:rPr>
              <w:t xml:space="preserve">  </w:t>
            </w:r>
            <w:r w:rsidR="009D0D51">
              <w:rPr>
                <w:rFonts w:ascii="標楷體" w:eastAsia="標楷體" w:hAnsi="標楷體" w:hint="eastAsia"/>
              </w:rPr>
              <w:t>容易具體闡述的地方</w:t>
            </w:r>
            <w:r>
              <w:rPr>
                <w:rFonts w:ascii="新細明體" w:hAnsi="新細明體" w:hint="eastAsia"/>
              </w:rPr>
              <w:t>。</w:t>
            </w:r>
            <w:r>
              <w:rPr>
                <w:rFonts w:ascii="標楷體" w:eastAsia="標楷體" w:hAnsi="標楷體" w:hint="eastAsia"/>
              </w:rPr>
              <w:t>藉由文學館參訪活動除具體闡述文化權的保障也可帶入對</w:t>
            </w:r>
          </w:p>
          <w:p w:rsidR="00EF48CC" w:rsidRPr="005335B0" w:rsidRDefault="00AC006E" w:rsidP="005335B0">
            <w:pPr>
              <w:jc w:val="both"/>
              <w:rPr>
                <w:rFonts w:ascii="標楷體" w:eastAsia="標楷體" w:hAnsi="標楷體"/>
              </w:rPr>
            </w:pPr>
            <w:r>
              <w:rPr>
                <w:rFonts w:ascii="標楷體" w:eastAsia="標楷體" w:hAnsi="標楷體" w:hint="eastAsia"/>
              </w:rPr>
              <w:t xml:space="preserve">  多元文化的包容概念</w:t>
            </w:r>
            <w:r>
              <w:rPr>
                <w:rFonts w:ascii="新細明體" w:hAnsi="新細明體" w:hint="eastAsia"/>
              </w:rPr>
              <w:t>。</w:t>
            </w:r>
          </w:p>
        </w:tc>
      </w:tr>
    </w:tbl>
    <w:p w:rsidR="006C74F1" w:rsidRDefault="006C74F1" w:rsidP="006C74F1">
      <w:pPr>
        <w:pStyle w:val="a5"/>
        <w:ind w:leftChars="40" w:left="96"/>
        <w:rPr>
          <w:color w:val="000000"/>
          <w:sz w:val="24"/>
          <w:szCs w:val="24"/>
        </w:rPr>
      </w:pPr>
    </w:p>
    <w:p w:rsidR="006C74F1" w:rsidRDefault="006C74F1" w:rsidP="006C74F1">
      <w:pPr>
        <w:pStyle w:val="a5"/>
        <w:ind w:leftChars="40" w:left="96"/>
        <w:rPr>
          <w:color w:val="000000"/>
          <w:sz w:val="24"/>
          <w:szCs w:val="24"/>
        </w:rPr>
      </w:pPr>
      <w:r>
        <w:rPr>
          <w:color w:val="000000"/>
          <w:sz w:val="24"/>
          <w:szCs w:val="24"/>
        </w:rPr>
        <w:br w:type="page"/>
      </w:r>
      <w:r w:rsidR="000D33B7">
        <w:rPr>
          <w:rFonts w:hint="eastAsia"/>
          <w:color w:val="000000"/>
          <w:sz w:val="24"/>
          <w:szCs w:val="24"/>
        </w:rPr>
        <w:lastRenderedPageBreak/>
        <w:t>附件</w:t>
      </w:r>
      <w:r w:rsidR="000D33B7">
        <w:rPr>
          <w:rFonts w:ascii="新細明體" w:eastAsia="新細明體" w:hAnsi="新細明體" w:hint="eastAsia"/>
          <w:color w:val="000000"/>
          <w:sz w:val="24"/>
          <w:szCs w:val="24"/>
        </w:rPr>
        <w:t>：</w:t>
      </w:r>
      <w:r>
        <w:rPr>
          <w:rFonts w:hint="eastAsia"/>
          <w:color w:val="000000"/>
          <w:sz w:val="24"/>
          <w:szCs w:val="24"/>
        </w:rPr>
        <w:t>拜訪</w:t>
      </w:r>
      <w:r w:rsidR="000D33B7">
        <w:rPr>
          <w:rFonts w:hint="eastAsia"/>
          <w:color w:val="000000"/>
          <w:sz w:val="24"/>
          <w:szCs w:val="24"/>
        </w:rPr>
        <w:t>國立台灣文學</w:t>
      </w:r>
      <w:r>
        <w:rPr>
          <w:rFonts w:hint="eastAsia"/>
          <w:color w:val="000000"/>
          <w:sz w:val="24"/>
          <w:szCs w:val="24"/>
        </w:rPr>
        <w:t>館學習單</w:t>
      </w:r>
    </w:p>
    <w:p w:rsidR="006C74F1" w:rsidRPr="000D33B7" w:rsidRDefault="000D33B7" w:rsidP="000D33B7">
      <w:pPr>
        <w:ind w:firstLineChars="141" w:firstLine="790"/>
        <w:jc w:val="center"/>
        <w:rPr>
          <w:rFonts w:ascii="華康儷楷書" w:eastAsia="華康儷楷書" w:hAnsi="新細明體"/>
          <w:color w:val="C00000"/>
          <w:sz w:val="56"/>
          <w:szCs w:val="40"/>
        </w:rPr>
      </w:pPr>
      <w:r w:rsidRPr="00466CEB">
        <w:rPr>
          <w:rFonts w:ascii="華康儷楷書" w:eastAsia="華康儷楷書" w:hAnsi="新細明體" w:hint="eastAsia"/>
          <w:color w:val="C00000"/>
          <w:sz w:val="56"/>
          <w:szCs w:val="40"/>
        </w:rPr>
        <w:t>拜訪</w:t>
      </w:r>
      <w:r w:rsidRPr="000D33B7">
        <w:rPr>
          <w:rFonts w:ascii="華康儷楷書" w:eastAsia="華康儷楷書" w:hAnsi="新細明體" w:hint="eastAsia"/>
          <w:color w:val="C00000"/>
          <w:sz w:val="56"/>
          <w:szCs w:val="40"/>
        </w:rPr>
        <w:t>國立台灣文學館</w:t>
      </w:r>
    </w:p>
    <w:p w:rsidR="006C74F1" w:rsidRDefault="006C74F1" w:rsidP="006C74F1">
      <w:pPr>
        <w:ind w:firstLineChars="141" w:firstLine="338"/>
        <w:jc w:val="center"/>
        <w:rPr>
          <w:rFonts w:ascii="新細明體" w:hAnsi="新細明體"/>
        </w:rPr>
      </w:pPr>
      <w:r>
        <w:rPr>
          <w:rFonts w:ascii="新細明體" w:hAnsi="新細明體" w:hint="eastAsia"/>
        </w:rPr>
        <w:t xml:space="preserve">     </w:t>
      </w:r>
      <w:r w:rsidRPr="00F410EF">
        <w:rPr>
          <w:rFonts w:ascii="新細明體" w:hAnsi="新細明體" w:hint="eastAsia"/>
        </w:rPr>
        <w:t xml:space="preserve"> </w:t>
      </w:r>
      <w:r w:rsidRPr="00F410EF">
        <w:rPr>
          <w:rFonts w:ascii="新細明體" w:hAnsi="新細明體" w:hint="eastAsia"/>
          <w:u w:val="single"/>
        </w:rPr>
        <w:t xml:space="preserve"> </w:t>
      </w:r>
      <w:r>
        <w:rPr>
          <w:rFonts w:ascii="新細明體" w:hAnsi="新細明體" w:hint="eastAsia"/>
          <w:u w:val="single"/>
        </w:rPr>
        <w:t xml:space="preserve">   </w:t>
      </w:r>
      <w:r w:rsidRPr="00F410EF">
        <w:rPr>
          <w:rFonts w:ascii="新細明體" w:hAnsi="新細明體" w:hint="eastAsia"/>
        </w:rPr>
        <w:t xml:space="preserve">年 </w:t>
      </w:r>
      <w:r w:rsidRPr="00F410EF">
        <w:rPr>
          <w:rFonts w:ascii="新細明體" w:hAnsi="新細明體" w:hint="eastAsia"/>
          <w:u w:val="single"/>
        </w:rPr>
        <w:t xml:space="preserve">    </w:t>
      </w:r>
      <w:r w:rsidRPr="00F410EF">
        <w:rPr>
          <w:rFonts w:ascii="新細明體" w:hAnsi="新細明體" w:hint="eastAsia"/>
        </w:rPr>
        <w:t xml:space="preserve"> 班 </w:t>
      </w:r>
      <w:r w:rsidRPr="00F410EF">
        <w:rPr>
          <w:rFonts w:ascii="新細明體" w:hAnsi="新細明體" w:hint="eastAsia"/>
          <w:u w:val="single"/>
        </w:rPr>
        <w:t xml:space="preserve">    </w:t>
      </w:r>
      <w:r w:rsidRPr="00F410EF">
        <w:rPr>
          <w:rFonts w:ascii="新細明體" w:hAnsi="新細明體" w:hint="eastAsia"/>
        </w:rPr>
        <w:t>號    姓名</w:t>
      </w:r>
      <w:r w:rsidRPr="000A0198">
        <w:rPr>
          <w:rFonts w:ascii="新細明體" w:hAnsi="新細明體" w:hint="eastAsia"/>
          <w:u w:val="single"/>
        </w:rPr>
        <w:t xml:space="preserve">  </w:t>
      </w:r>
      <w:r>
        <w:rPr>
          <w:rFonts w:ascii="新細明體" w:hAnsi="新細明體" w:hint="eastAsia"/>
          <w:u w:val="single"/>
        </w:rPr>
        <w:t xml:space="preserve">       </w:t>
      </w:r>
      <w:r w:rsidRPr="000A0198">
        <w:rPr>
          <w:rFonts w:ascii="新細明體" w:hAnsi="新細明體" w:hint="eastAsia"/>
          <w:u w:val="single"/>
        </w:rPr>
        <w:t xml:space="preserve">   </w:t>
      </w:r>
      <w:r>
        <w:rPr>
          <w:rFonts w:ascii="新細明體" w:hAnsi="新細明體" w:hint="eastAsia"/>
        </w:rPr>
        <w:t xml:space="preserve"> </w:t>
      </w:r>
      <w:r w:rsidRPr="000A0198">
        <w:rPr>
          <w:rFonts w:ascii="新細明體" w:hAnsi="新細明體" w:hint="eastAsia"/>
        </w:rPr>
        <w:t xml:space="preserve">   </w:t>
      </w:r>
    </w:p>
    <w:p w:rsidR="00E222FD" w:rsidRPr="000A0198" w:rsidRDefault="00636DCD" w:rsidP="00636DCD">
      <w:pPr>
        <w:ind w:firstLineChars="141" w:firstLine="338"/>
        <w:rPr>
          <w:rFonts w:ascii="新細明體" w:hAnsi="新細明體"/>
        </w:rPr>
      </w:pPr>
      <w:r>
        <w:rPr>
          <w:rFonts w:ascii="新細明體" w:hAnsi="新細明體" w:hint="eastAsia"/>
        </w:rPr>
        <w:t xml:space="preserve"> </w:t>
      </w:r>
      <w:r w:rsidR="00E222FD" w:rsidRPr="00E222FD">
        <w:rPr>
          <w:rFonts w:ascii="新細明體" w:hAnsi="新細明體" w:hint="eastAsia"/>
        </w:rPr>
        <w:t>台灣文學的發展，從早期原住民、荷西、明鄭、清領、日治、民國以</w:t>
      </w:r>
      <w:r>
        <w:rPr>
          <w:rFonts w:ascii="新細明體" w:hAnsi="新細明體" w:hint="eastAsia"/>
        </w:rPr>
        <w:t>來，世代更迭，族群交融，累積大量文學作品，孕育出豐厚多元的內涵。</w:t>
      </w:r>
      <w:r w:rsidRPr="00636DCD">
        <w:rPr>
          <w:rFonts w:ascii="新細明體" w:hAnsi="新細明體" w:hint="eastAsia"/>
        </w:rPr>
        <w:t>2003年10月17日，遙念蔣渭水等先賢成立「台灣文化協會」之精神，「國立台灣文學館」選定此日正式開館營運。</w:t>
      </w:r>
    </w:p>
    <w:p w:rsidR="006C74F1" w:rsidRDefault="00950325" w:rsidP="006C74F1">
      <w:pPr>
        <w:ind w:firstLineChars="177" w:firstLine="425"/>
        <w:rPr>
          <w:rFonts w:ascii="新細明體" w:hAnsi="新細明體"/>
        </w:rPr>
      </w:pPr>
      <w:r>
        <w:rPr>
          <w:rFonts w:ascii="新細明體" w:hAnsi="新細明體"/>
          <w:noProof/>
        </w:rPr>
        <w:drawing>
          <wp:anchor distT="0" distB="0" distL="114300" distR="114300" simplePos="0" relativeHeight="251658240" behindDoc="0" locked="0" layoutInCell="1" allowOverlap="1">
            <wp:simplePos x="0" y="0"/>
            <wp:positionH relativeFrom="column">
              <wp:posOffset>2829560</wp:posOffset>
            </wp:positionH>
            <wp:positionV relativeFrom="paragraph">
              <wp:posOffset>626110</wp:posOffset>
            </wp:positionV>
            <wp:extent cx="3647440" cy="2771140"/>
            <wp:effectExtent l="38100" t="114300" r="10160" b="10541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rot="3038081">
                      <a:off x="0" y="0"/>
                      <a:ext cx="3647440" cy="2771140"/>
                    </a:xfrm>
                    <a:prstGeom prst="rect">
                      <a:avLst/>
                    </a:prstGeom>
                    <a:noFill/>
                  </pic:spPr>
                </pic:pic>
              </a:graphicData>
            </a:graphic>
          </wp:anchor>
        </w:drawing>
      </w:r>
      <w:r w:rsidR="00141782">
        <w:rPr>
          <w:rFonts w:ascii="新細明體" w:hAnsi="新細明體"/>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0;text-align:left;margin-left:-6pt;margin-top:3.35pt;width:516pt;height:566.05pt;z-index:251655168;mso-position-horizontal-relative:text;mso-position-vertical-relative:text" adj="725" filled="f" fillcolor="#cff" strokecolor="blue" strokeweight="1.5pt"/>
        </w:pict>
      </w:r>
    </w:p>
    <w:p w:rsidR="006C74F1" w:rsidRDefault="00141782" w:rsidP="006C74F1">
      <w:pPr>
        <w:ind w:firstLineChars="177" w:firstLine="425"/>
        <w:rPr>
          <w:rFonts w:ascii="新細明體" w:hAnsi="新細明體"/>
        </w:rPr>
      </w:pPr>
      <w:r>
        <w:rPr>
          <w:rFonts w:ascii="新細明體" w:hAnsi="新細明體"/>
          <w:noProof/>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29" type="#_x0000_t60" style="position:absolute;left:0;text-align:left;margin-left:294pt;margin-top:14.75pt;width:186pt;height:234pt;z-index:-251656192" adj="1173" filled="f" strokecolor="green" strokeweight="2pt"/>
        </w:pict>
      </w:r>
      <w:r>
        <w:rPr>
          <w:rFonts w:ascii="新細明體" w:hAnsi="新細明體"/>
          <w:noProof/>
        </w:rPr>
        <w:pict>
          <v:shape id="_x0000_s1028" type="#_x0000_t60" style="position:absolute;left:0;text-align:left;margin-left:17.85pt;margin-top:14.75pt;width:264pt;height:225pt;z-index:-251657216" adj="1173" filled="f" strokecolor="#f60" strokeweight="1.75pt"/>
        </w:pict>
      </w:r>
    </w:p>
    <w:p w:rsidR="006C74F1" w:rsidRDefault="00950325" w:rsidP="006C74F1">
      <w:pPr>
        <w:ind w:firstLineChars="177" w:firstLine="425"/>
        <w:rPr>
          <w:rFonts w:ascii="新細明體" w:hAnsi="新細明體"/>
        </w:rPr>
      </w:pPr>
      <w:r>
        <w:rPr>
          <w:noProof/>
        </w:rPr>
        <w:drawing>
          <wp:anchor distT="0" distB="0" distL="114300" distR="114300" simplePos="0" relativeHeight="251657216" behindDoc="0" locked="0" layoutInCell="1" allowOverlap="1">
            <wp:simplePos x="0" y="0"/>
            <wp:positionH relativeFrom="column">
              <wp:posOffset>358140</wp:posOffset>
            </wp:positionH>
            <wp:positionV relativeFrom="paragraph">
              <wp:posOffset>107315</wp:posOffset>
            </wp:positionV>
            <wp:extent cx="2674620" cy="2674620"/>
            <wp:effectExtent l="381000" t="381000" r="373380" b="354330"/>
            <wp:wrapNone/>
            <wp:docPr id="20" name="圖片 20" descr="minsheng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nsheng_p1"/>
                    <pic:cNvPicPr>
                      <a:picLocks noChangeAspect="1" noChangeArrowheads="1"/>
                    </pic:cNvPicPr>
                  </pic:nvPicPr>
                  <pic:blipFill>
                    <a:blip r:embed="rId15" cstate="print"/>
                    <a:srcRect/>
                    <a:stretch>
                      <a:fillRect/>
                    </a:stretch>
                  </pic:blipFill>
                  <pic:spPr bwMode="auto">
                    <a:xfrm rot="-1171230">
                      <a:off x="0" y="0"/>
                      <a:ext cx="2674620" cy="2674620"/>
                    </a:xfrm>
                    <a:prstGeom prst="rect">
                      <a:avLst/>
                    </a:prstGeom>
                    <a:noFill/>
                  </pic:spPr>
                </pic:pic>
              </a:graphicData>
            </a:graphic>
          </wp:anchor>
        </w:drawing>
      </w:r>
    </w:p>
    <w:p w:rsidR="006C74F1" w:rsidRPr="00E469E8" w:rsidRDefault="006C74F1" w:rsidP="006C74F1">
      <w:pPr>
        <w:ind w:firstLineChars="177" w:firstLine="425"/>
        <w:rPr>
          <w:rFonts w:ascii="新細明體" w:hAnsi="新細明體"/>
        </w:rPr>
      </w:pPr>
    </w:p>
    <w:p w:rsidR="006C74F1" w:rsidRPr="009F7F7C"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Pr="009F7F7C"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left="527"/>
      </w:pPr>
      <w:r>
        <w:rPr>
          <w:rFonts w:hint="eastAsia"/>
        </w:rPr>
        <w:t>1.</w:t>
      </w:r>
      <w:r w:rsidRPr="00F410EF">
        <w:rPr>
          <w:rFonts w:hint="eastAsia"/>
        </w:rPr>
        <w:t>參觀完</w:t>
      </w:r>
      <w:r w:rsidR="006F583C" w:rsidRPr="006F583C">
        <w:rPr>
          <w:rFonts w:hint="eastAsia"/>
        </w:rPr>
        <w:t>國立台灣文學館</w:t>
      </w:r>
      <w:r w:rsidRPr="00F410EF">
        <w:rPr>
          <w:rFonts w:cs="新細明體"/>
          <w:kern w:val="0"/>
        </w:rPr>
        <w:t>，</w:t>
      </w:r>
      <w:r w:rsidRPr="00F410EF">
        <w:rPr>
          <w:rFonts w:hint="eastAsia"/>
        </w:rPr>
        <w:t>請寫下你</w:t>
      </w:r>
      <w:r>
        <w:rPr>
          <w:rFonts w:hint="eastAsia"/>
        </w:rPr>
        <w:t>認為值得向別人介紹的</w:t>
      </w:r>
      <w:r w:rsidRPr="00F410EF">
        <w:rPr>
          <w:rFonts w:hint="eastAsia"/>
        </w:rPr>
        <w:t>事物，和大家一起分享。</w:t>
      </w:r>
    </w:p>
    <w:p w:rsidR="006C74F1" w:rsidRDefault="006C74F1" w:rsidP="006C74F1">
      <w:pPr>
        <w:ind w:left="527"/>
      </w:pPr>
    </w:p>
    <w:p w:rsidR="006C74F1" w:rsidRDefault="006C74F1" w:rsidP="006C74F1">
      <w:pPr>
        <w:ind w:left="527"/>
      </w:pPr>
    </w:p>
    <w:p w:rsidR="006F583C" w:rsidRPr="006F583C" w:rsidRDefault="006F583C" w:rsidP="006C74F1">
      <w:pPr>
        <w:ind w:left="527"/>
      </w:pPr>
    </w:p>
    <w:p w:rsidR="006C74F1" w:rsidRPr="00E469E8" w:rsidRDefault="006C74F1" w:rsidP="006C74F1">
      <w:pPr>
        <w:ind w:left="480"/>
        <w:rPr>
          <w:rFonts w:ascii="新細明體" w:hAnsi="新細明體"/>
        </w:rPr>
      </w:pPr>
      <w:r>
        <w:rPr>
          <w:rFonts w:cs="新細明體" w:hint="eastAsia"/>
          <w:kern w:val="0"/>
        </w:rPr>
        <w:t>2.</w:t>
      </w:r>
      <w:r w:rsidR="006F583C">
        <w:rPr>
          <w:rFonts w:cs="新細明體" w:hint="eastAsia"/>
          <w:kern w:val="0"/>
        </w:rPr>
        <w:t>想想看</w:t>
      </w:r>
      <w:r w:rsidR="006F583C">
        <w:rPr>
          <w:rFonts w:ascii="新細明體" w:hAnsi="新細明體" w:cs="新細明體" w:hint="eastAsia"/>
          <w:kern w:val="0"/>
        </w:rPr>
        <w:t>！</w:t>
      </w:r>
      <w:r w:rsidR="006F583C">
        <w:rPr>
          <w:rFonts w:cs="新細明體" w:hint="eastAsia"/>
          <w:kern w:val="0"/>
        </w:rPr>
        <w:t>我們為什麼要將這些文學作品保存下來</w:t>
      </w:r>
      <w:r w:rsidR="006F583C">
        <w:rPr>
          <w:rFonts w:ascii="新細明體" w:hAnsi="新細明體" w:cs="新細明體" w:hint="eastAsia"/>
          <w:kern w:val="0"/>
        </w:rPr>
        <w:t>？</w:t>
      </w:r>
      <w:r w:rsidR="006F583C" w:rsidRPr="00E469E8">
        <w:rPr>
          <w:rFonts w:ascii="新細明體" w:hAnsi="新細明體"/>
        </w:rPr>
        <w:t xml:space="preserve"> </w:t>
      </w:r>
    </w:p>
    <w:p w:rsidR="006C74F1" w:rsidRPr="006F583C" w:rsidRDefault="006C74F1" w:rsidP="006C74F1">
      <w:pPr>
        <w:ind w:left="527"/>
        <w:rPr>
          <w:rFonts w:cs="新細明體"/>
          <w:kern w:val="0"/>
        </w:rPr>
      </w:pPr>
    </w:p>
    <w:p w:rsidR="006C74F1" w:rsidRDefault="006C74F1" w:rsidP="006C74F1">
      <w:pPr>
        <w:ind w:left="527"/>
        <w:rPr>
          <w:rFonts w:ascii="新細明體" w:hAnsi="新細明體"/>
        </w:rPr>
      </w:pPr>
    </w:p>
    <w:p w:rsidR="006F583C" w:rsidRPr="0098444B" w:rsidRDefault="006F583C" w:rsidP="006C74F1">
      <w:pPr>
        <w:ind w:left="527"/>
        <w:rPr>
          <w:rFonts w:ascii="新細明體" w:hAnsi="新細明體"/>
        </w:rPr>
      </w:pPr>
    </w:p>
    <w:p w:rsidR="00267648" w:rsidRDefault="0098444B" w:rsidP="006C74F1">
      <w:pPr>
        <w:ind w:leftChars="134" w:left="562" w:hangingChars="100" w:hanging="240"/>
      </w:pPr>
      <w:r>
        <w:rPr>
          <w:rFonts w:hint="eastAsia"/>
        </w:rPr>
        <w:t xml:space="preserve"> </w:t>
      </w:r>
      <w:r w:rsidR="006C74F1">
        <w:rPr>
          <w:rFonts w:hint="eastAsia"/>
        </w:rPr>
        <w:t>3.</w:t>
      </w:r>
      <w:r w:rsidR="00267648">
        <w:rPr>
          <w:rFonts w:hint="eastAsia"/>
        </w:rPr>
        <w:t>關於台灣文學館</w:t>
      </w:r>
      <w:r w:rsidR="00267648">
        <w:rPr>
          <w:rFonts w:ascii="新細明體" w:hAnsi="新細明體" w:hint="eastAsia"/>
        </w:rPr>
        <w:t>，</w:t>
      </w:r>
      <w:r w:rsidR="00267648">
        <w:rPr>
          <w:rFonts w:hint="eastAsia"/>
        </w:rPr>
        <w:t>你最感興趣的是文學館的建築</w:t>
      </w:r>
      <w:r w:rsidR="00267648">
        <w:rPr>
          <w:rFonts w:ascii="新細明體" w:hAnsi="新細明體" w:hint="eastAsia"/>
        </w:rPr>
        <w:t>、</w:t>
      </w:r>
      <w:r w:rsidR="00267648">
        <w:rPr>
          <w:rFonts w:hint="eastAsia"/>
        </w:rPr>
        <w:t>裡面館藏的作家圖書還是它的歷史</w:t>
      </w:r>
      <w:r w:rsidR="00267648">
        <w:rPr>
          <w:rFonts w:hint="eastAsia"/>
        </w:rPr>
        <w:t xml:space="preserve"> </w:t>
      </w:r>
    </w:p>
    <w:p w:rsidR="006C74F1" w:rsidRPr="00E469E8" w:rsidRDefault="00267648" w:rsidP="006C74F1">
      <w:pPr>
        <w:ind w:leftChars="134" w:left="562" w:hangingChars="100" w:hanging="240"/>
        <w:rPr>
          <w:rFonts w:ascii="新細明體" w:hAnsi="新細明體"/>
        </w:rPr>
      </w:pPr>
      <w:r>
        <w:rPr>
          <w:rFonts w:hint="eastAsia"/>
        </w:rPr>
        <w:t xml:space="preserve">   </w:t>
      </w:r>
      <w:r>
        <w:rPr>
          <w:rFonts w:hint="eastAsia"/>
        </w:rPr>
        <w:t>呢</w:t>
      </w:r>
      <w:r>
        <w:rPr>
          <w:rFonts w:ascii="新細明體" w:hAnsi="新細明體" w:hint="eastAsia"/>
        </w:rPr>
        <w:t>？</w:t>
      </w:r>
    </w:p>
    <w:p w:rsidR="006C74F1" w:rsidRDefault="006C74F1" w:rsidP="006C74F1">
      <w:pPr>
        <w:ind w:left="527"/>
      </w:pPr>
    </w:p>
    <w:p w:rsidR="006C74F1" w:rsidRPr="00E469E8" w:rsidRDefault="006C74F1" w:rsidP="006C74F1">
      <w:pPr>
        <w:ind w:left="527"/>
        <w:rPr>
          <w:rFonts w:ascii="新細明體" w:hAnsi="新細明體"/>
        </w:rPr>
      </w:pPr>
    </w:p>
    <w:p w:rsidR="006C74F1" w:rsidRDefault="00267648" w:rsidP="006C74F1">
      <w:pPr>
        <w:ind w:firstLineChars="177" w:firstLine="425"/>
        <w:rPr>
          <w:rFonts w:ascii="新細明體" w:hAnsi="新細明體"/>
        </w:rPr>
      </w:pPr>
      <w:r>
        <w:rPr>
          <w:rFonts w:ascii="新細明體" w:hAnsi="新細明體" w:hint="eastAsia"/>
        </w:rPr>
        <w:t>4.</w:t>
      </w:r>
      <w:r w:rsidR="00C7396C">
        <w:rPr>
          <w:rFonts w:ascii="新細明體" w:hAnsi="新細明體" w:hint="eastAsia"/>
        </w:rPr>
        <w:t>有沒有注意到</w:t>
      </w:r>
      <w:r w:rsidR="00C7396C" w:rsidRPr="00C7396C">
        <w:rPr>
          <w:rFonts w:ascii="新細明體" w:hAnsi="新細明體" w:hint="eastAsia"/>
        </w:rPr>
        <w:t>台灣文學館</w:t>
      </w:r>
      <w:r w:rsidR="00C7396C">
        <w:rPr>
          <w:rFonts w:ascii="新細明體" w:hAnsi="新細明體" w:hint="eastAsia"/>
        </w:rPr>
        <w:t>的建築是哪種風格呢？</w:t>
      </w:r>
      <w:bookmarkStart w:id="0" w:name="_GoBack"/>
      <w:bookmarkEnd w:id="0"/>
    </w:p>
    <w:p w:rsidR="006C74F1" w:rsidRDefault="006C74F1" w:rsidP="006C74F1">
      <w:pPr>
        <w:ind w:firstLineChars="177" w:firstLine="425"/>
        <w:rPr>
          <w:rFonts w:ascii="新細明體" w:hAnsi="新細明體"/>
        </w:rPr>
      </w:pPr>
    </w:p>
    <w:p w:rsidR="00332A80" w:rsidRPr="00973102" w:rsidRDefault="00590454" w:rsidP="00590454">
      <w:pPr>
        <w:pStyle w:val="a5"/>
        <w:ind w:leftChars="0" w:left="0"/>
        <w:rPr>
          <w:sz w:val="32"/>
          <w:szCs w:val="32"/>
        </w:rPr>
      </w:pPr>
      <w:r w:rsidRPr="00973102">
        <w:rPr>
          <w:sz w:val="32"/>
          <w:szCs w:val="32"/>
        </w:rPr>
        <w:t xml:space="preserve"> </w:t>
      </w:r>
    </w:p>
    <w:sectPr w:rsidR="00332A80" w:rsidRPr="00973102" w:rsidSect="00332A8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A87" w:rsidRDefault="00CF4A87" w:rsidP="00BB1766">
      <w:r>
        <w:separator/>
      </w:r>
    </w:p>
  </w:endnote>
  <w:endnote w:type="continuationSeparator" w:id="0">
    <w:p w:rsidR="00CF4A87" w:rsidRDefault="00CF4A87" w:rsidP="00BB1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楷書">
    <w:altName w:val="Arial Unicode MS"/>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A87" w:rsidRDefault="00CF4A87" w:rsidP="00BB1766">
      <w:r>
        <w:separator/>
      </w:r>
    </w:p>
  </w:footnote>
  <w:footnote w:type="continuationSeparator" w:id="0">
    <w:p w:rsidR="00CF4A87" w:rsidRDefault="00CF4A87" w:rsidP="00BB1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10F6"/>
    <w:multiLevelType w:val="hybridMultilevel"/>
    <w:tmpl w:val="B7BC4B4E"/>
    <w:lvl w:ilvl="0" w:tplc="387C6B8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AC1"/>
    <w:rsid w:val="00076667"/>
    <w:rsid w:val="00094835"/>
    <w:rsid w:val="000D33B7"/>
    <w:rsid w:val="0011787E"/>
    <w:rsid w:val="00132550"/>
    <w:rsid w:val="00141141"/>
    <w:rsid w:val="00141782"/>
    <w:rsid w:val="0014576C"/>
    <w:rsid w:val="001C252A"/>
    <w:rsid w:val="0021797A"/>
    <w:rsid w:val="0023211F"/>
    <w:rsid w:val="00267648"/>
    <w:rsid w:val="003142B1"/>
    <w:rsid w:val="00332A80"/>
    <w:rsid w:val="00355652"/>
    <w:rsid w:val="003729A0"/>
    <w:rsid w:val="003C3AF5"/>
    <w:rsid w:val="0041776D"/>
    <w:rsid w:val="004253CB"/>
    <w:rsid w:val="004451F7"/>
    <w:rsid w:val="00477C2C"/>
    <w:rsid w:val="00493F6E"/>
    <w:rsid w:val="004B3F2A"/>
    <w:rsid w:val="004D2FFB"/>
    <w:rsid w:val="00500A8D"/>
    <w:rsid w:val="005139FA"/>
    <w:rsid w:val="00525AC1"/>
    <w:rsid w:val="005335B0"/>
    <w:rsid w:val="00590454"/>
    <w:rsid w:val="00632C42"/>
    <w:rsid w:val="00636DCD"/>
    <w:rsid w:val="00642CE5"/>
    <w:rsid w:val="00665BE3"/>
    <w:rsid w:val="00681F38"/>
    <w:rsid w:val="006C74F1"/>
    <w:rsid w:val="006F583C"/>
    <w:rsid w:val="00763DB7"/>
    <w:rsid w:val="007850F3"/>
    <w:rsid w:val="007A2C30"/>
    <w:rsid w:val="007B5CD7"/>
    <w:rsid w:val="007E68DB"/>
    <w:rsid w:val="008923EF"/>
    <w:rsid w:val="008F6482"/>
    <w:rsid w:val="00913AD1"/>
    <w:rsid w:val="00932CCD"/>
    <w:rsid w:val="00941E61"/>
    <w:rsid w:val="00950325"/>
    <w:rsid w:val="00970C3A"/>
    <w:rsid w:val="00971862"/>
    <w:rsid w:val="00972D43"/>
    <w:rsid w:val="00973102"/>
    <w:rsid w:val="0098444B"/>
    <w:rsid w:val="00984EC0"/>
    <w:rsid w:val="009D0D51"/>
    <w:rsid w:val="00A26502"/>
    <w:rsid w:val="00A35CD4"/>
    <w:rsid w:val="00AC006E"/>
    <w:rsid w:val="00B15C9B"/>
    <w:rsid w:val="00B53E1E"/>
    <w:rsid w:val="00B54EBA"/>
    <w:rsid w:val="00BB1766"/>
    <w:rsid w:val="00BC321A"/>
    <w:rsid w:val="00C216C3"/>
    <w:rsid w:val="00C21FBC"/>
    <w:rsid w:val="00C34221"/>
    <w:rsid w:val="00C402BF"/>
    <w:rsid w:val="00C7396C"/>
    <w:rsid w:val="00C91CC3"/>
    <w:rsid w:val="00CD63C5"/>
    <w:rsid w:val="00CF4586"/>
    <w:rsid w:val="00CF4A87"/>
    <w:rsid w:val="00D1387D"/>
    <w:rsid w:val="00D35F8C"/>
    <w:rsid w:val="00D60F80"/>
    <w:rsid w:val="00DB0062"/>
    <w:rsid w:val="00DD0DEE"/>
    <w:rsid w:val="00E222FD"/>
    <w:rsid w:val="00E92651"/>
    <w:rsid w:val="00EE0AB7"/>
    <w:rsid w:val="00EE46A6"/>
    <w:rsid w:val="00EF1584"/>
    <w:rsid w:val="00EF48CC"/>
    <w:rsid w:val="00F735C1"/>
    <w:rsid w:val="00F83B7B"/>
    <w:rsid w:val="00FB78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78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A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13AD1"/>
    <w:rPr>
      <w:color w:val="0000FF"/>
      <w:u w:val="single"/>
    </w:rPr>
  </w:style>
  <w:style w:type="paragraph" w:styleId="a5">
    <w:name w:val="List Paragraph"/>
    <w:basedOn w:val="a"/>
    <w:qFormat/>
    <w:rsid w:val="00C34221"/>
    <w:pPr>
      <w:spacing w:line="0" w:lineRule="atLeast"/>
      <w:ind w:leftChars="200" w:left="480"/>
    </w:pPr>
    <w:rPr>
      <w:rFonts w:ascii="標楷體" w:eastAsia="標楷體" w:hAnsi="標楷體"/>
      <w:sz w:val="36"/>
      <w:szCs w:val="28"/>
    </w:rPr>
  </w:style>
  <w:style w:type="paragraph" w:styleId="a6">
    <w:name w:val="Balloon Text"/>
    <w:basedOn w:val="a"/>
    <w:link w:val="a7"/>
    <w:rsid w:val="00EF1584"/>
    <w:rPr>
      <w:rFonts w:ascii="Cambria" w:hAnsi="Cambria"/>
      <w:sz w:val="18"/>
      <w:szCs w:val="18"/>
    </w:rPr>
  </w:style>
  <w:style w:type="character" w:customStyle="1" w:styleId="a7">
    <w:name w:val="註解方塊文字 字元"/>
    <w:link w:val="a6"/>
    <w:rsid w:val="00EF1584"/>
    <w:rPr>
      <w:rFonts w:ascii="Cambria" w:eastAsia="新細明體" w:hAnsi="Cambria" w:cs="Times New Roman"/>
      <w:kern w:val="2"/>
      <w:sz w:val="18"/>
      <w:szCs w:val="18"/>
    </w:rPr>
  </w:style>
  <w:style w:type="paragraph" w:styleId="a8">
    <w:name w:val="header"/>
    <w:basedOn w:val="a"/>
    <w:link w:val="a9"/>
    <w:rsid w:val="00BB1766"/>
    <w:pPr>
      <w:tabs>
        <w:tab w:val="center" w:pos="4153"/>
        <w:tab w:val="right" w:pos="8306"/>
      </w:tabs>
      <w:snapToGrid w:val="0"/>
    </w:pPr>
    <w:rPr>
      <w:sz w:val="20"/>
      <w:szCs w:val="20"/>
    </w:rPr>
  </w:style>
  <w:style w:type="character" w:customStyle="1" w:styleId="a9">
    <w:name w:val="頁首 字元"/>
    <w:link w:val="a8"/>
    <w:rsid w:val="00BB1766"/>
    <w:rPr>
      <w:kern w:val="2"/>
    </w:rPr>
  </w:style>
  <w:style w:type="paragraph" w:styleId="aa">
    <w:name w:val="footer"/>
    <w:basedOn w:val="a"/>
    <w:link w:val="ab"/>
    <w:rsid w:val="00BB1766"/>
    <w:pPr>
      <w:tabs>
        <w:tab w:val="center" w:pos="4153"/>
        <w:tab w:val="right" w:pos="8306"/>
      </w:tabs>
      <w:snapToGrid w:val="0"/>
    </w:pPr>
    <w:rPr>
      <w:sz w:val="20"/>
      <w:szCs w:val="20"/>
    </w:rPr>
  </w:style>
  <w:style w:type="character" w:customStyle="1" w:styleId="ab">
    <w:name w:val="頁尾 字元"/>
    <w:link w:val="aa"/>
    <w:rsid w:val="00BB1766"/>
    <w:rPr>
      <w:kern w:val="2"/>
    </w:rPr>
  </w:style>
  <w:style w:type="character" w:customStyle="1" w:styleId="apple-converted-space">
    <w:name w:val="apple-converted-space"/>
    <w:rsid w:val="00CF4586"/>
  </w:style>
</w:styles>
</file>

<file path=word/webSettings.xml><?xml version="1.0" encoding="utf-8"?>
<w:webSettings xmlns:r="http://schemas.openxmlformats.org/officeDocument/2006/relationships" xmlns:w="http://schemas.openxmlformats.org/wordprocessingml/2006/main">
  <w:divs>
    <w:div w:id="16398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ishui.org/index-2.html" TargetMode="External"/><Relationship Id="rId3" Type="http://schemas.openxmlformats.org/officeDocument/2006/relationships/settings" Target="settings.xml"/><Relationship Id="rId7" Type="http://schemas.openxmlformats.org/officeDocument/2006/relationships/hyperlink" Target="http://www.nmtl.gov.tw/index.php?option=com_content&amp;task=view&amp;id=1&amp;Itemid=22" TargetMode="External"/><Relationship Id="rId12" Type="http://schemas.openxmlformats.org/officeDocument/2006/relationships/hyperlink" Target="http://www.laiho.org.tw/index.php?option=com_content&amp;task=category&amp;sectionid=8&amp;id=25&amp;Itemid=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ki/%E8%B3%B4%E5%92%8C"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nmtl.gov.tw/index.php?option=com_content&amp;task=view&amp;id=2958&amp;Itemid=1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3745</Characters>
  <Application>Microsoft Office Word</Application>
  <DocSecurity>0</DocSecurity>
  <Lines>31</Lines>
  <Paragraphs>8</Paragraphs>
  <ScaleCrop>false</ScaleCrop>
  <Company>HOMGER</Company>
  <LinksUpToDate>false</LinksUpToDate>
  <CharactersWithSpaces>4394</CharactersWithSpaces>
  <SharedDoc>false</SharedDoc>
  <HLinks>
    <vt:vector size="36" baseType="variant">
      <vt:variant>
        <vt:i4>7209018</vt:i4>
      </vt:variant>
      <vt:variant>
        <vt:i4>3</vt:i4>
      </vt:variant>
      <vt:variant>
        <vt:i4>0</vt:i4>
      </vt:variant>
      <vt:variant>
        <vt:i4>5</vt:i4>
      </vt:variant>
      <vt:variant>
        <vt:lpwstr>http://zh.wikipedia.org/zh/%E7%99%BD%E8%89%B2%E6%81%90%E6%80%96</vt:lpwstr>
      </vt:variant>
      <vt:variant>
        <vt:lpwstr/>
      </vt:variant>
      <vt:variant>
        <vt:i4>786439</vt:i4>
      </vt:variant>
      <vt:variant>
        <vt:i4>0</vt:i4>
      </vt:variant>
      <vt:variant>
        <vt:i4>0</vt:i4>
      </vt:variant>
      <vt:variant>
        <vt:i4>5</vt:i4>
      </vt:variant>
      <vt:variant>
        <vt:lpwstr>http://www.tnwcdo.gov.tw/culture01a.asp?ID=%7B1B957118-BA29-4587-9405-11717CFD2143%7D</vt:lpwstr>
      </vt:variant>
      <vt:variant>
        <vt:lpwstr/>
      </vt:variant>
      <vt:variant>
        <vt:i4>3604574</vt:i4>
      </vt:variant>
      <vt:variant>
        <vt:i4>3</vt:i4>
      </vt:variant>
      <vt:variant>
        <vt:i4>0</vt:i4>
      </vt:variant>
      <vt:variant>
        <vt:i4>5</vt:i4>
      </vt:variant>
      <vt:variant>
        <vt:lpwstr>http://www.books.com.tw/exep/pub_book.php?pubid=chaugen</vt:lpwstr>
      </vt:variant>
      <vt:variant>
        <vt:lpwstr/>
      </vt:variant>
      <vt:variant>
        <vt:i4>3997703</vt:i4>
      </vt:variant>
      <vt:variant>
        <vt:i4>0</vt:i4>
      </vt:variant>
      <vt:variant>
        <vt:i4>0</vt:i4>
      </vt:variant>
      <vt:variant>
        <vt:i4>5</vt:i4>
      </vt:variant>
      <vt:variant>
        <vt:lpwstr>http://search.books.com.tw/exep/prod_search.php?key=%B8%AD%A5%DB%C0%DC&amp;f=author</vt:lpwstr>
      </vt:variant>
      <vt:variant>
        <vt:lpwstr/>
      </vt:variant>
      <vt:variant>
        <vt:i4>4128782</vt:i4>
      </vt:variant>
      <vt:variant>
        <vt:i4>-1</vt:i4>
      </vt:variant>
      <vt:variant>
        <vt:i4>1035</vt:i4>
      </vt:variant>
      <vt:variant>
        <vt:i4>1</vt:i4>
      </vt:variant>
      <vt:variant>
        <vt:lpwstr>http://www.twcenter.org.tw/b01/pic_author/13101/09.jpg</vt:lpwstr>
      </vt:variant>
      <vt:variant>
        <vt:lpwstr/>
      </vt:variant>
      <vt:variant>
        <vt:i4>5636098</vt:i4>
      </vt:variant>
      <vt:variant>
        <vt:i4>-1</vt:i4>
      </vt:variant>
      <vt:variant>
        <vt:i4>1036</vt:i4>
      </vt:variant>
      <vt:variant>
        <vt:i4>1</vt:i4>
      </vt:variant>
      <vt:variant>
        <vt:lpwstr>http://im1.book.com.tw/exep/lib/image.php?image=http://addons.books.com.tw/G/001/9/0010054879.jpg&amp;width=200&amp;height=280&amp;quality=80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人權景點校外教學課程發展方向建議表</dc:title>
  <dc:creator>JAN</dc:creator>
  <cp:lastModifiedBy>AUX2</cp:lastModifiedBy>
  <cp:revision>2</cp:revision>
  <cp:lastPrinted>2015-04-23T08:02:00Z</cp:lastPrinted>
  <dcterms:created xsi:type="dcterms:W3CDTF">2015-04-29T00:58:00Z</dcterms:created>
  <dcterms:modified xsi:type="dcterms:W3CDTF">2015-04-29T00:58:00Z</dcterms:modified>
</cp:coreProperties>
</file>