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50" w:rsidRPr="00332A80" w:rsidRDefault="00525AC1" w:rsidP="00525AC1">
      <w:pPr>
        <w:jc w:val="center"/>
        <w:rPr>
          <w:rFonts w:ascii="標楷體" w:eastAsia="標楷體" w:hAnsi="標楷體"/>
          <w:sz w:val="36"/>
          <w:szCs w:val="36"/>
        </w:rPr>
      </w:pPr>
      <w:r w:rsidRPr="00332A80">
        <w:rPr>
          <w:rFonts w:ascii="標楷體" w:eastAsia="標楷體" w:hAnsi="標楷體" w:hint="eastAsia"/>
          <w:sz w:val="36"/>
          <w:szCs w:val="36"/>
        </w:rPr>
        <w:t>人權景點校外教學課程發展方向建議表</w:t>
      </w:r>
    </w:p>
    <w:p w:rsidR="00525AC1" w:rsidRPr="00332A80" w:rsidRDefault="00BB1766" w:rsidP="00332A80">
      <w:pPr>
        <w:jc w:val="right"/>
        <w:rPr>
          <w:rFonts w:ascii="標楷體" w:eastAsia="標楷體" w:hAnsi="標楷體"/>
          <w:sz w:val="28"/>
          <w:szCs w:val="28"/>
        </w:rPr>
      </w:pPr>
      <w:r>
        <w:rPr>
          <w:rFonts w:ascii="標楷體" w:eastAsia="標楷體" w:hAnsi="標楷體" w:hint="eastAsia"/>
          <w:sz w:val="28"/>
          <w:szCs w:val="28"/>
        </w:rPr>
        <w:t>臺南市安定國中胡晃銘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
        <w:gridCol w:w="8828"/>
      </w:tblGrid>
      <w:tr w:rsidR="008923EF"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人權景點</w:t>
            </w:r>
          </w:p>
        </w:tc>
        <w:tc>
          <w:tcPr>
            <w:tcW w:w="7786" w:type="dxa"/>
            <w:shd w:val="clear" w:color="auto" w:fill="auto"/>
          </w:tcPr>
          <w:p w:rsidR="00332A80" w:rsidRPr="005335B0" w:rsidRDefault="00BB1766" w:rsidP="005335B0">
            <w:pPr>
              <w:jc w:val="both"/>
              <w:rPr>
                <w:rFonts w:ascii="標楷體" w:eastAsia="標楷體" w:hAnsi="標楷體"/>
              </w:rPr>
            </w:pPr>
            <w:r>
              <w:rPr>
                <w:rFonts w:ascii="標楷體" w:eastAsia="標楷體" w:hAnsi="標楷體" w:hint="eastAsia"/>
              </w:rPr>
              <w:t>湯德章紀念公園</w:t>
            </w:r>
          </w:p>
        </w:tc>
      </w:tr>
      <w:tr w:rsidR="008923EF"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位址</w:t>
            </w:r>
          </w:p>
        </w:tc>
        <w:tc>
          <w:tcPr>
            <w:tcW w:w="7786" w:type="dxa"/>
            <w:shd w:val="clear" w:color="auto" w:fill="auto"/>
          </w:tcPr>
          <w:p w:rsidR="00332A80" w:rsidRPr="005335B0" w:rsidRDefault="00971862" w:rsidP="005335B0">
            <w:pPr>
              <w:jc w:val="both"/>
              <w:rPr>
                <w:rFonts w:ascii="標楷體" w:eastAsia="標楷體" w:hAnsi="標楷體"/>
              </w:rPr>
            </w:pPr>
            <w:r w:rsidRPr="00971862">
              <w:rPr>
                <w:rFonts w:ascii="標楷體" w:eastAsia="標楷體" w:hAnsi="標楷體" w:hint="eastAsia"/>
              </w:rPr>
              <w:t>臺南市中西區中山、民生、公園、中正、南門、開山、青年路交會處(昔稱民生綠園，現稱為湯德章紀念公園)</w:t>
            </w:r>
          </w:p>
        </w:tc>
      </w:tr>
      <w:tr w:rsidR="008923EF" w:rsidRPr="005335B0" w:rsidTr="005335B0">
        <w:trPr>
          <w:trHeight w:val="9128"/>
        </w:trPr>
        <w:tc>
          <w:tcPr>
            <w:tcW w:w="1908" w:type="dxa"/>
            <w:shd w:val="clear" w:color="auto" w:fill="auto"/>
          </w:tcPr>
          <w:p w:rsidR="00913AD1" w:rsidRPr="005335B0" w:rsidRDefault="00913AD1" w:rsidP="005335B0">
            <w:pPr>
              <w:jc w:val="both"/>
              <w:rPr>
                <w:rFonts w:ascii="標楷體" w:eastAsia="標楷體" w:hAnsi="標楷體"/>
              </w:rPr>
            </w:pPr>
            <w:r w:rsidRPr="005335B0">
              <w:rPr>
                <w:rFonts w:ascii="標楷體" w:eastAsia="標楷體" w:hAnsi="標楷體" w:hint="eastAsia"/>
              </w:rPr>
              <w:t>人權景點簡介</w:t>
            </w:r>
          </w:p>
        </w:tc>
        <w:tc>
          <w:tcPr>
            <w:tcW w:w="7786" w:type="dxa"/>
            <w:shd w:val="clear" w:color="auto" w:fill="auto"/>
          </w:tcPr>
          <w:p w:rsidR="00A26502" w:rsidRPr="00A26502" w:rsidRDefault="00A26502" w:rsidP="00A26502">
            <w:pPr>
              <w:jc w:val="both"/>
              <w:rPr>
                <w:rFonts w:ascii="標楷體" w:eastAsia="標楷體" w:hAnsi="標楷體"/>
              </w:rPr>
            </w:pPr>
            <w:r w:rsidRPr="00A26502">
              <w:rPr>
                <w:rFonts w:ascii="標楷體" w:eastAsia="標楷體" w:hAnsi="標楷體" w:hint="eastAsia"/>
              </w:rPr>
              <w:t>【簡介】</w:t>
            </w:r>
          </w:p>
          <w:p w:rsidR="00A26502" w:rsidRPr="00A26502" w:rsidRDefault="00A26502" w:rsidP="00A26502">
            <w:pPr>
              <w:jc w:val="both"/>
              <w:rPr>
                <w:rFonts w:ascii="標楷體" w:eastAsia="標楷體" w:hAnsi="標楷體"/>
              </w:rPr>
            </w:pPr>
            <w:r w:rsidRPr="00A26502">
              <w:rPr>
                <w:rFonts w:ascii="標楷體" w:eastAsia="標楷體" w:hAnsi="標楷體" w:hint="eastAsia"/>
              </w:rPr>
              <w:t>公園造型圓形平面，空間由兩個植有草皮、喬貫木的綠色環帶及圓形水泥平台所構成，昔稱民生綠園，現稱為湯德章紀念公園。</w:t>
            </w:r>
          </w:p>
          <w:p w:rsidR="00A26502" w:rsidRPr="00A26502" w:rsidRDefault="00A26502" w:rsidP="00A26502">
            <w:pPr>
              <w:jc w:val="both"/>
              <w:rPr>
                <w:rFonts w:ascii="標楷體" w:eastAsia="標楷體" w:hAnsi="標楷體"/>
              </w:rPr>
            </w:pPr>
            <w:r w:rsidRPr="00A26502">
              <w:rPr>
                <w:rFonts w:ascii="標楷體" w:eastAsia="標楷體" w:hAnsi="標楷體" w:hint="eastAsia"/>
              </w:rPr>
              <w:t>【歷史沿革】</w:t>
            </w:r>
          </w:p>
          <w:p w:rsidR="00A26502" w:rsidRPr="00A26502" w:rsidRDefault="00A26502" w:rsidP="00A26502">
            <w:pPr>
              <w:jc w:val="both"/>
              <w:rPr>
                <w:rFonts w:ascii="標楷體" w:eastAsia="標楷體" w:hAnsi="標楷體"/>
              </w:rPr>
            </w:pPr>
            <w:r w:rsidRPr="00A26502">
              <w:rPr>
                <w:rFonts w:ascii="標楷體" w:eastAsia="標楷體" w:hAnsi="標楷體" w:hint="eastAsia"/>
              </w:rPr>
              <w:t>日明治44年(西元1911年)，臺南市實施市區改正，受當時國際建築思潮影響，提出劃設有西門、東門、東門城、火車站前、民生綠園、後甲等圓環巴洛克式的都市計畫，開闢新式道路，周邊道路亦於焉成形。</w:t>
            </w:r>
          </w:p>
          <w:p w:rsidR="00A26502" w:rsidRPr="00A26502" w:rsidRDefault="00A26502" w:rsidP="00A26502">
            <w:pPr>
              <w:jc w:val="both"/>
              <w:rPr>
                <w:rFonts w:ascii="標楷體" w:eastAsia="標楷體" w:hAnsi="標楷體"/>
              </w:rPr>
            </w:pPr>
            <w:r w:rsidRPr="00A26502">
              <w:rPr>
                <w:rFonts w:ascii="標楷體" w:eastAsia="標楷體" w:hAnsi="標楷體" w:hint="eastAsia"/>
              </w:rPr>
              <w:t>因園中原設有日人總督兒玉源太郎雕像，故曾名為「兒玉公園」，戰後改換為孫中山雕像，並易名為「民生綠園」。後於1998年2月27日將綠園更名為「湯德章紀念公園」，於湯德章律師遭槍決處豎立半身胸像以為紀念。</w:t>
            </w:r>
          </w:p>
          <w:p w:rsidR="00A26502" w:rsidRPr="00A26502" w:rsidRDefault="00A26502" w:rsidP="00A26502">
            <w:pPr>
              <w:jc w:val="both"/>
              <w:rPr>
                <w:rFonts w:ascii="標楷體" w:eastAsia="標楷體" w:hAnsi="標楷體"/>
              </w:rPr>
            </w:pPr>
            <w:r w:rsidRPr="00A26502">
              <w:rPr>
                <w:rFonts w:ascii="標楷體" w:eastAsia="標楷體" w:hAnsi="標楷體" w:hint="eastAsia"/>
              </w:rPr>
              <w:t>【特色】</w:t>
            </w:r>
          </w:p>
          <w:p w:rsidR="00A26502" w:rsidRPr="00A26502" w:rsidRDefault="00A26502" w:rsidP="00A26502">
            <w:pPr>
              <w:jc w:val="both"/>
              <w:rPr>
                <w:rFonts w:ascii="標楷體" w:eastAsia="標楷體" w:hAnsi="標楷體"/>
              </w:rPr>
            </w:pPr>
            <w:r w:rsidRPr="00A26502">
              <w:rPr>
                <w:rFonts w:ascii="標楷體" w:eastAsia="標楷體" w:hAnsi="標楷體" w:hint="eastAsia"/>
              </w:rPr>
              <w:t xml:space="preserve">圓形平面，空間由兩個植有草皮、喬貫木的綠色環帶及圓形水泥平台所構成，平台周邊環繞水池，入口兩處設置有方圓形花台，表面洗石子門柱，表面洗石子粉刷為主。 </w:t>
            </w:r>
          </w:p>
          <w:p w:rsidR="00A26502" w:rsidRDefault="00A26502" w:rsidP="00A26502">
            <w:pPr>
              <w:jc w:val="both"/>
              <w:rPr>
                <w:rFonts w:ascii="標楷體" w:eastAsia="標楷體" w:hAnsi="標楷體"/>
              </w:rPr>
            </w:pPr>
            <w:r w:rsidRPr="00A26502">
              <w:rPr>
                <w:rFonts w:ascii="標楷體" w:eastAsia="標楷體" w:hAnsi="標楷體" w:hint="eastAsia"/>
              </w:rPr>
              <w:t>平台入口階梯兩側設置有方圓形花台，表面洗石子處理為主，四面有線條及浮凸於台身之圓形圖案組成之鏈狀裝飾。(資料來源：台南市政府文化局網站及府城逍遙遊網站/人文景點)</w:t>
            </w:r>
          </w:p>
          <w:p w:rsidR="00984EC0" w:rsidRDefault="00984EC0" w:rsidP="00A26502">
            <w:pPr>
              <w:jc w:val="both"/>
              <w:rPr>
                <w:rFonts w:ascii="標楷體" w:eastAsia="標楷體" w:hAnsi="標楷體"/>
              </w:rPr>
            </w:pPr>
          </w:p>
          <w:p w:rsidR="00913AD1" w:rsidRDefault="00C34221" w:rsidP="005335B0">
            <w:pPr>
              <w:jc w:val="both"/>
              <w:rPr>
                <w:rFonts w:ascii="標楷體" w:eastAsia="標楷體" w:hAnsi="標楷體"/>
              </w:rPr>
            </w:pPr>
            <w:r w:rsidRPr="005335B0">
              <w:rPr>
                <w:rFonts w:ascii="標楷體" w:eastAsia="標楷體" w:hAnsi="標楷體" w:hint="eastAsia"/>
              </w:rPr>
              <w:t>★</w:t>
            </w:r>
            <w:r w:rsidR="00913AD1" w:rsidRPr="005335B0">
              <w:rPr>
                <w:rFonts w:ascii="標楷體" w:eastAsia="標楷體" w:hAnsi="標楷體" w:hint="eastAsia"/>
              </w:rPr>
              <w:t>資料來源：</w:t>
            </w:r>
          </w:p>
          <w:p w:rsidR="007A2C30" w:rsidRPr="005335B0" w:rsidRDefault="007A2C30" w:rsidP="005335B0">
            <w:pPr>
              <w:jc w:val="both"/>
              <w:rPr>
                <w:rFonts w:ascii="標楷體" w:eastAsia="標楷體" w:hAnsi="標楷體"/>
              </w:rPr>
            </w:pPr>
            <w:r>
              <w:rPr>
                <w:rFonts w:ascii="標楷體" w:eastAsia="標楷體" w:hAnsi="標楷體" w:hint="eastAsia"/>
              </w:rPr>
              <w:t>臺南市中西區公所</w:t>
            </w:r>
          </w:p>
          <w:p w:rsidR="007A2C30" w:rsidRDefault="0012790D" w:rsidP="005335B0">
            <w:pPr>
              <w:jc w:val="both"/>
              <w:rPr>
                <w:rFonts w:ascii="標楷體" w:eastAsia="標楷體" w:hAnsi="標楷體"/>
              </w:rPr>
            </w:pPr>
            <w:hyperlink r:id="rId8" w:history="1">
              <w:r w:rsidR="007A2C30" w:rsidRPr="00DF7893">
                <w:rPr>
                  <w:rStyle w:val="a4"/>
                  <w:rFonts w:ascii="標楷體" w:eastAsia="標楷體" w:hAnsi="標楷體"/>
                </w:rPr>
                <w:t>http://www.tnwcdo.gov.tw/culture01a.asp?ID=%7B1B957118-BA29-4587-9405-11717CFD2143%7D</w:t>
              </w:r>
            </w:hyperlink>
          </w:p>
          <w:p w:rsidR="00984EC0" w:rsidRDefault="00984EC0" w:rsidP="005335B0">
            <w:pPr>
              <w:jc w:val="both"/>
              <w:rPr>
                <w:rFonts w:ascii="標楷體" w:eastAsia="標楷體" w:hAnsi="標楷體"/>
              </w:rPr>
            </w:pPr>
          </w:p>
          <w:p w:rsidR="00C34221" w:rsidRPr="005335B0" w:rsidRDefault="006A4105" w:rsidP="005335B0">
            <w:pPr>
              <w:jc w:val="both"/>
              <w:rPr>
                <w:rFonts w:ascii="標楷體" w:eastAsia="標楷體" w:hAnsi="標楷體"/>
              </w:rPr>
            </w:pPr>
            <w:r>
              <w:rPr>
                <w:rFonts w:ascii="標楷體" w:eastAsia="標楷體" w:hAnsi="標楷體"/>
                <w:noProof/>
              </w:rPr>
              <w:drawing>
                <wp:inline distT="0" distB="0" distL="0" distR="0">
                  <wp:extent cx="2566035" cy="2054225"/>
                  <wp:effectExtent l="19050" t="0" r="5715" b="0"/>
                  <wp:docPr id="1" name="圖片 1" descr="1017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71101"/>
                          <pic:cNvPicPr>
                            <a:picLocks noChangeAspect="1" noChangeArrowheads="1"/>
                          </pic:cNvPicPr>
                        </pic:nvPicPr>
                        <pic:blipFill>
                          <a:blip r:embed="rId9" cstate="print"/>
                          <a:srcRect/>
                          <a:stretch>
                            <a:fillRect/>
                          </a:stretch>
                        </pic:blipFill>
                        <pic:spPr bwMode="auto">
                          <a:xfrm>
                            <a:off x="0" y="0"/>
                            <a:ext cx="2566035" cy="2054225"/>
                          </a:xfrm>
                          <a:prstGeom prst="rect">
                            <a:avLst/>
                          </a:prstGeom>
                          <a:noFill/>
                          <a:ln w="9525">
                            <a:noFill/>
                            <a:miter lim="800000"/>
                            <a:headEnd/>
                            <a:tailEnd/>
                          </a:ln>
                        </pic:spPr>
                      </pic:pic>
                    </a:graphicData>
                  </a:graphic>
                </wp:inline>
              </w:drawing>
            </w:r>
            <w:r>
              <w:rPr>
                <w:rFonts w:ascii="標楷體" w:eastAsia="標楷體" w:hAnsi="標楷體"/>
                <w:noProof/>
              </w:rPr>
              <w:drawing>
                <wp:inline distT="0" distB="0" distL="0" distR="0">
                  <wp:extent cx="2675255" cy="2054225"/>
                  <wp:effectExtent l="19050" t="0" r="0" b="0"/>
                  <wp:docPr id="2" name="圖片 2" descr="11191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911002"/>
                          <pic:cNvPicPr>
                            <a:picLocks noChangeAspect="1" noChangeArrowheads="1"/>
                          </pic:cNvPicPr>
                        </pic:nvPicPr>
                        <pic:blipFill>
                          <a:blip r:embed="rId10" cstate="print"/>
                          <a:srcRect/>
                          <a:stretch>
                            <a:fillRect/>
                          </a:stretch>
                        </pic:blipFill>
                        <pic:spPr bwMode="auto">
                          <a:xfrm>
                            <a:off x="0" y="0"/>
                            <a:ext cx="2675255" cy="2054225"/>
                          </a:xfrm>
                          <a:prstGeom prst="rect">
                            <a:avLst/>
                          </a:prstGeom>
                          <a:noFill/>
                          <a:ln w="9525">
                            <a:noFill/>
                            <a:miter lim="800000"/>
                            <a:headEnd/>
                            <a:tailEnd/>
                          </a:ln>
                        </pic:spPr>
                      </pic:pic>
                    </a:graphicData>
                  </a:graphic>
                </wp:inline>
              </w:drawing>
            </w:r>
          </w:p>
        </w:tc>
      </w:tr>
      <w:tr w:rsidR="008923EF"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lastRenderedPageBreak/>
              <w:t>相關人權公約條文</w:t>
            </w:r>
          </w:p>
        </w:tc>
        <w:tc>
          <w:tcPr>
            <w:tcW w:w="7786" w:type="dxa"/>
            <w:shd w:val="clear" w:color="auto" w:fill="auto"/>
          </w:tcPr>
          <w:p w:rsidR="00C34221" w:rsidRPr="005335B0" w:rsidRDefault="00C34221" w:rsidP="005335B0">
            <w:pPr>
              <w:tabs>
                <w:tab w:val="left" w:pos="1245"/>
              </w:tabs>
              <w:rPr>
                <w:rFonts w:ascii="標楷體" w:eastAsia="標楷體" w:hAnsi="標楷體"/>
                <w:b/>
              </w:rPr>
            </w:pPr>
            <w:r w:rsidRPr="005335B0">
              <w:rPr>
                <w:rFonts w:ascii="標楷體" w:eastAsia="標楷體" w:hAnsi="標楷體" w:hint="eastAsia"/>
                <w:b/>
              </w:rPr>
              <w:t>【世界人權宣言】</w:t>
            </w:r>
          </w:p>
          <w:p w:rsidR="00C34221" w:rsidRPr="005335B0" w:rsidRDefault="00C34221" w:rsidP="005335B0">
            <w:pPr>
              <w:tabs>
                <w:tab w:val="left" w:pos="1245"/>
              </w:tabs>
              <w:rPr>
                <w:rFonts w:ascii="標楷體" w:eastAsia="標楷體" w:hAnsi="標楷體"/>
                <w:b/>
              </w:rPr>
            </w:pPr>
            <w:r w:rsidRPr="005335B0">
              <w:rPr>
                <w:rFonts w:ascii="標楷體" w:eastAsia="標楷體" w:hAnsi="標楷體" w:hint="eastAsia"/>
                <w:b/>
              </w:rPr>
              <w:t xml:space="preserve">第九條 </w:t>
            </w:r>
          </w:p>
          <w:p w:rsidR="00C34221" w:rsidRPr="005335B0" w:rsidRDefault="00C34221" w:rsidP="005335B0">
            <w:pPr>
              <w:tabs>
                <w:tab w:val="left" w:pos="1245"/>
              </w:tabs>
              <w:rPr>
                <w:rFonts w:ascii="標楷體" w:eastAsia="標楷體" w:hAnsi="標楷體"/>
                <w:b/>
              </w:rPr>
            </w:pPr>
            <w:r w:rsidRPr="005335B0">
              <w:rPr>
                <w:rFonts w:ascii="標楷體" w:eastAsia="標楷體" w:hAnsi="標楷體" w:hint="eastAsia"/>
              </w:rPr>
              <w:t>任何人不得加以任意逮捕、拘禁或放逐。</w:t>
            </w:r>
          </w:p>
          <w:p w:rsidR="00C34221" w:rsidRPr="005335B0" w:rsidRDefault="00C34221" w:rsidP="005335B0">
            <w:pPr>
              <w:tabs>
                <w:tab w:val="left" w:pos="1245"/>
              </w:tabs>
              <w:rPr>
                <w:rFonts w:ascii="標楷體" w:eastAsia="標楷體" w:hAnsi="標楷體"/>
                <w:b/>
              </w:rPr>
            </w:pPr>
            <w:r w:rsidRPr="005335B0">
              <w:rPr>
                <w:rFonts w:ascii="標楷體" w:eastAsia="標楷體" w:hAnsi="標楷體" w:hint="eastAsia"/>
                <w:b/>
              </w:rPr>
              <w:t xml:space="preserve">第十條  </w:t>
            </w:r>
          </w:p>
          <w:p w:rsidR="00C34221" w:rsidRPr="005335B0" w:rsidRDefault="00C34221" w:rsidP="005335B0">
            <w:pPr>
              <w:tabs>
                <w:tab w:val="left" w:pos="1245"/>
              </w:tabs>
              <w:rPr>
                <w:rFonts w:ascii="標楷體" w:eastAsia="標楷體" w:hAnsi="標楷體"/>
              </w:rPr>
            </w:pPr>
            <w:r w:rsidRPr="005335B0">
              <w:rPr>
                <w:rFonts w:ascii="標楷體" w:eastAsia="標楷體" w:hAnsi="標楷體" w:hint="eastAsia"/>
              </w:rPr>
              <w:t>人人完全平等地有權由一個獨立而無偏倚的法庭進行公正的和公開的審訊，以確定他的權利和義務並判定對他提出的任何刑事指控。</w:t>
            </w:r>
          </w:p>
          <w:p w:rsidR="00C34221" w:rsidRPr="005335B0" w:rsidRDefault="00C34221" w:rsidP="005335B0">
            <w:pPr>
              <w:tabs>
                <w:tab w:val="left" w:pos="1245"/>
              </w:tabs>
              <w:rPr>
                <w:rFonts w:ascii="標楷體" w:eastAsia="標楷體" w:hAnsi="標楷體"/>
                <w:b/>
              </w:rPr>
            </w:pPr>
          </w:p>
          <w:p w:rsidR="00C34221" w:rsidRPr="005335B0" w:rsidRDefault="00C34221" w:rsidP="005335B0">
            <w:pPr>
              <w:tabs>
                <w:tab w:val="left" w:pos="1245"/>
              </w:tabs>
              <w:rPr>
                <w:rFonts w:ascii="標楷體" w:eastAsia="標楷體" w:hAnsi="標楷體"/>
              </w:rPr>
            </w:pPr>
            <w:r w:rsidRPr="005335B0">
              <w:rPr>
                <w:rFonts w:ascii="標楷體" w:eastAsia="標楷體" w:hAnsi="標楷體" w:hint="eastAsia"/>
              </w:rPr>
              <w:t>【</w:t>
            </w:r>
            <w:r w:rsidRPr="005335B0">
              <w:rPr>
                <w:rFonts w:ascii="標楷體" w:eastAsia="標楷體" w:hAnsi="標楷體" w:hint="eastAsia"/>
                <w:b/>
              </w:rPr>
              <w:t>公民與政治權利國際公約</w:t>
            </w:r>
            <w:r w:rsidRPr="005335B0">
              <w:rPr>
                <w:rFonts w:ascii="標楷體" w:eastAsia="標楷體" w:hAnsi="標楷體" w:hint="eastAsia"/>
              </w:rPr>
              <w:t>】</w:t>
            </w:r>
          </w:p>
          <w:p w:rsidR="00C34221" w:rsidRPr="005335B0" w:rsidRDefault="00C34221" w:rsidP="005335B0">
            <w:pPr>
              <w:tabs>
                <w:tab w:val="left" w:pos="1245"/>
              </w:tabs>
              <w:rPr>
                <w:rFonts w:ascii="標楷體" w:eastAsia="標楷體" w:hAnsi="標楷體"/>
                <w:b/>
              </w:rPr>
            </w:pPr>
            <w:r w:rsidRPr="005335B0">
              <w:rPr>
                <w:rFonts w:ascii="標楷體" w:eastAsia="標楷體" w:hAnsi="標楷體" w:hint="eastAsia"/>
                <w:b/>
              </w:rPr>
              <w:t>第九條</w:t>
            </w:r>
          </w:p>
          <w:p w:rsidR="00C34221" w:rsidRPr="005335B0" w:rsidRDefault="00C34221" w:rsidP="005335B0">
            <w:pPr>
              <w:tabs>
                <w:tab w:val="left" w:pos="1245"/>
              </w:tabs>
              <w:ind w:left="480" w:hangingChars="200" w:hanging="480"/>
              <w:rPr>
                <w:rFonts w:ascii="標楷體" w:eastAsia="標楷體" w:hAnsi="標楷體"/>
              </w:rPr>
            </w:pPr>
            <w:r w:rsidRPr="005335B0">
              <w:rPr>
                <w:rFonts w:ascii="標楷體" w:eastAsia="標楷體" w:hAnsi="標楷體" w:hint="eastAsia"/>
              </w:rPr>
              <w:t>一、人人有權享有身體自由及人身安全。任何人不得無理予以逮捕或拘禁。非依法定理由及程序，不得剝奪任何人之自由。</w:t>
            </w:r>
          </w:p>
          <w:p w:rsidR="00C34221" w:rsidRPr="005335B0" w:rsidRDefault="00C34221" w:rsidP="005335B0">
            <w:pPr>
              <w:tabs>
                <w:tab w:val="left" w:pos="1245"/>
              </w:tabs>
              <w:rPr>
                <w:rFonts w:ascii="標楷體" w:eastAsia="標楷體" w:hAnsi="標楷體"/>
                <w:b/>
              </w:rPr>
            </w:pPr>
            <w:r w:rsidRPr="005335B0">
              <w:rPr>
                <w:rFonts w:ascii="標楷體" w:eastAsia="標楷體" w:hAnsi="標楷體" w:hint="eastAsia"/>
                <w:b/>
              </w:rPr>
              <w:t>第十條</w:t>
            </w:r>
          </w:p>
          <w:p w:rsidR="00C34221" w:rsidRPr="005335B0" w:rsidRDefault="00C34221" w:rsidP="005335B0">
            <w:pPr>
              <w:tabs>
                <w:tab w:val="left" w:pos="1245"/>
              </w:tabs>
              <w:rPr>
                <w:rFonts w:ascii="標楷體" w:eastAsia="標楷體" w:hAnsi="標楷體"/>
              </w:rPr>
            </w:pPr>
            <w:r w:rsidRPr="005335B0">
              <w:rPr>
                <w:rFonts w:ascii="標楷體" w:eastAsia="標楷體" w:hAnsi="標楷體" w:hint="eastAsia"/>
              </w:rPr>
              <w:t>一、自由被剝奪之人，應受合於人道及尊重其天賦人格尊嚴之處遇。</w:t>
            </w:r>
          </w:p>
          <w:p w:rsidR="00C34221" w:rsidRPr="005335B0" w:rsidRDefault="00C34221" w:rsidP="005335B0">
            <w:pPr>
              <w:tabs>
                <w:tab w:val="left" w:pos="1245"/>
              </w:tabs>
              <w:rPr>
                <w:rFonts w:ascii="標楷體" w:eastAsia="標楷體" w:hAnsi="標楷體"/>
                <w:b/>
              </w:rPr>
            </w:pPr>
            <w:r w:rsidRPr="005335B0">
              <w:rPr>
                <w:rFonts w:ascii="標楷體" w:eastAsia="標楷體" w:hAnsi="標楷體" w:hint="eastAsia"/>
                <w:b/>
              </w:rPr>
              <w:t>第十四條</w:t>
            </w:r>
          </w:p>
          <w:p w:rsidR="00C34221" w:rsidRPr="005335B0" w:rsidRDefault="00C34221" w:rsidP="005335B0">
            <w:pPr>
              <w:tabs>
                <w:tab w:val="left" w:pos="1245"/>
              </w:tabs>
              <w:ind w:left="480" w:hangingChars="200" w:hanging="480"/>
              <w:rPr>
                <w:rFonts w:ascii="標楷體" w:eastAsia="標楷體" w:hAnsi="標楷體"/>
              </w:rPr>
            </w:pPr>
            <w:r w:rsidRPr="005335B0">
              <w:rPr>
                <w:rFonts w:ascii="標楷體" w:eastAsia="標楷體" w:hAnsi="標楷體" w:hint="eastAsia"/>
              </w:rPr>
              <w:t>一、人人在法院或法庭之前，悉屬平等。任何人受刑事控告或因其權利義務涉訟須予判定時，應有權受獨立無私之法定管轄法庭公正公開審問。</w:t>
            </w:r>
          </w:p>
          <w:p w:rsidR="00332A80" w:rsidRPr="005335B0" w:rsidRDefault="00332A80" w:rsidP="005335B0">
            <w:pPr>
              <w:tabs>
                <w:tab w:val="left" w:pos="1245"/>
              </w:tabs>
              <w:ind w:left="360" w:hangingChars="150" w:hanging="360"/>
              <w:rPr>
                <w:rFonts w:ascii="標楷體" w:eastAsia="標楷體" w:hAnsi="標楷體"/>
              </w:rPr>
            </w:pPr>
          </w:p>
        </w:tc>
      </w:tr>
      <w:tr w:rsidR="008923EF"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建議與人權議題相關能力之指標</w:t>
            </w:r>
          </w:p>
        </w:tc>
        <w:tc>
          <w:tcPr>
            <w:tcW w:w="7786" w:type="dxa"/>
            <w:shd w:val="clear" w:color="auto" w:fill="auto"/>
          </w:tcPr>
          <w:p w:rsidR="00932CCD" w:rsidRPr="005335B0" w:rsidRDefault="00932CCD" w:rsidP="005335B0">
            <w:pPr>
              <w:pStyle w:val="a5"/>
              <w:spacing w:line="240" w:lineRule="auto"/>
              <w:ind w:leftChars="0" w:left="720" w:hangingChars="300" w:hanging="720"/>
              <w:rPr>
                <w:sz w:val="24"/>
                <w:szCs w:val="24"/>
              </w:rPr>
            </w:pPr>
            <w:smartTag w:uri="urn:schemas-microsoft-com:office:smarttags" w:element="chsdate">
              <w:smartTagPr>
                <w:attr w:name="IsROCDate" w:val="False"/>
                <w:attr w:name="IsLunarDate" w:val="False"/>
                <w:attr w:name="Day" w:val="3"/>
                <w:attr w:name="Month" w:val="3"/>
                <w:attr w:name="Year" w:val="2001"/>
              </w:smartTagPr>
              <w:r w:rsidRPr="005335B0">
                <w:rPr>
                  <w:sz w:val="24"/>
                  <w:szCs w:val="24"/>
                </w:rPr>
                <w:t>1-3-3</w:t>
              </w:r>
            </w:smartTag>
            <w:r w:rsidRPr="005335B0">
              <w:rPr>
                <w:sz w:val="24"/>
                <w:szCs w:val="24"/>
              </w:rPr>
              <w:t xml:space="preserve"> </w:t>
            </w:r>
            <w:r w:rsidRPr="005335B0">
              <w:rPr>
                <w:rFonts w:hint="eastAsia"/>
                <w:sz w:val="24"/>
                <w:szCs w:val="24"/>
              </w:rPr>
              <w:t xml:space="preserve"> </w:t>
            </w:r>
            <w:r w:rsidRPr="005335B0">
              <w:rPr>
                <w:sz w:val="24"/>
                <w:szCs w:val="24"/>
              </w:rPr>
              <w:t>了解平等、正義的原則，並能在生活中實踐 </w:t>
            </w:r>
            <w:r w:rsidRPr="005335B0">
              <w:rPr>
                <w:rFonts w:hint="eastAsia"/>
                <w:sz w:val="24"/>
                <w:szCs w:val="24"/>
              </w:rPr>
              <w:t>。</w:t>
            </w:r>
          </w:p>
          <w:p w:rsidR="00332A80" w:rsidRPr="005335B0" w:rsidRDefault="00932CCD" w:rsidP="005335B0">
            <w:pPr>
              <w:jc w:val="both"/>
              <w:rPr>
                <w:rFonts w:ascii="標楷體" w:eastAsia="標楷體" w:hAnsi="標楷體"/>
              </w:rPr>
            </w:pPr>
            <w:smartTag w:uri="urn:schemas-microsoft-com:office:smarttags" w:element="chsdate">
              <w:smartTagPr>
                <w:attr w:name="IsROCDate" w:val="False"/>
                <w:attr w:name="IsLunarDate" w:val="False"/>
                <w:attr w:name="Day" w:val="1"/>
                <w:attr w:name="Month" w:val="3"/>
                <w:attr w:name="Year" w:val="2002"/>
              </w:smartTagPr>
              <w:r w:rsidRPr="005335B0">
                <w:rPr>
                  <w:rFonts w:ascii="標楷體" w:eastAsia="標楷體" w:hAnsi="標楷體"/>
                </w:rPr>
                <w:t>2-3-1</w:t>
              </w:r>
            </w:smartTag>
            <w:r w:rsidRPr="005335B0">
              <w:rPr>
                <w:rFonts w:ascii="標楷體" w:eastAsia="標楷體" w:hAnsi="標楷體"/>
              </w:rPr>
              <w:t xml:space="preserve"> </w:t>
            </w:r>
            <w:r w:rsidRPr="005335B0">
              <w:rPr>
                <w:rFonts w:ascii="標楷體" w:eastAsia="標楷體" w:hAnsi="標楷體" w:hint="eastAsia"/>
              </w:rPr>
              <w:t xml:space="preserve"> </w:t>
            </w:r>
            <w:r w:rsidRPr="005335B0">
              <w:rPr>
                <w:rFonts w:ascii="標楷體" w:eastAsia="標楷體" w:hAnsi="標楷體"/>
              </w:rPr>
              <w:t>了解人身自由權並具有自我保護的知能</w:t>
            </w:r>
            <w:r w:rsidRPr="005335B0">
              <w:rPr>
                <w:rFonts w:ascii="標楷體" w:eastAsia="標楷體" w:hAnsi="標楷體" w:hint="eastAsia"/>
              </w:rPr>
              <w:t>。</w:t>
            </w:r>
          </w:p>
        </w:tc>
      </w:tr>
      <w:tr w:rsidR="008923EF"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相關的人權價值</w:t>
            </w:r>
          </w:p>
        </w:tc>
        <w:tc>
          <w:tcPr>
            <w:tcW w:w="7786" w:type="dxa"/>
            <w:shd w:val="clear" w:color="auto" w:fill="auto"/>
          </w:tcPr>
          <w:p w:rsidR="00332A80" w:rsidRPr="005335B0" w:rsidRDefault="00493F6E" w:rsidP="005335B0">
            <w:pPr>
              <w:jc w:val="both"/>
              <w:rPr>
                <w:rFonts w:ascii="標楷體" w:eastAsia="標楷體" w:hAnsi="標楷體"/>
              </w:rPr>
            </w:pPr>
            <w:r w:rsidRPr="005335B0">
              <w:rPr>
                <w:rFonts w:ascii="標楷體" w:eastAsia="標楷體" w:hAnsi="標楷體" w:hint="eastAsia"/>
              </w:rPr>
              <w:t>人權是不可被剝奪的</w:t>
            </w:r>
          </w:p>
          <w:p w:rsidR="00493F6E" w:rsidRPr="005335B0" w:rsidRDefault="0036613B" w:rsidP="005335B0">
            <w:pPr>
              <w:jc w:val="both"/>
              <w:rPr>
                <w:rFonts w:ascii="標楷體" w:eastAsia="標楷體" w:hAnsi="標楷體"/>
              </w:rPr>
            </w:pPr>
            <w:r>
              <w:rPr>
                <w:rFonts w:ascii="標楷體" w:eastAsia="標楷體" w:hAnsi="標楷體" w:hint="eastAsia"/>
              </w:rPr>
              <w:t>自由、</w:t>
            </w:r>
            <w:r w:rsidR="00493F6E" w:rsidRPr="005335B0">
              <w:rPr>
                <w:rFonts w:ascii="標楷體" w:eastAsia="標楷體" w:hAnsi="標楷體" w:hint="eastAsia"/>
              </w:rPr>
              <w:t>正義</w:t>
            </w:r>
          </w:p>
        </w:tc>
      </w:tr>
      <w:tr w:rsidR="008923EF" w:rsidRPr="005335B0" w:rsidTr="005335B0">
        <w:tc>
          <w:tcPr>
            <w:tcW w:w="1908" w:type="dxa"/>
            <w:shd w:val="clear" w:color="auto" w:fill="auto"/>
          </w:tcPr>
          <w:p w:rsidR="00332A80" w:rsidRPr="005335B0" w:rsidRDefault="00332A80" w:rsidP="005335B0">
            <w:pPr>
              <w:jc w:val="both"/>
              <w:rPr>
                <w:rFonts w:ascii="標楷體" w:eastAsia="標楷體" w:hAnsi="標楷體"/>
              </w:rPr>
            </w:pPr>
            <w:r w:rsidRPr="005335B0">
              <w:rPr>
                <w:rFonts w:ascii="標楷體" w:eastAsia="標楷體" w:hAnsi="標楷體" w:hint="eastAsia"/>
              </w:rPr>
              <w:t>相關素材（事蹟、經典名句、作品……）</w:t>
            </w:r>
          </w:p>
        </w:tc>
        <w:tc>
          <w:tcPr>
            <w:tcW w:w="7786" w:type="dxa"/>
            <w:shd w:val="clear" w:color="auto" w:fill="auto"/>
          </w:tcPr>
          <w:p w:rsidR="00C216C3" w:rsidRPr="0038415C" w:rsidRDefault="0038415C" w:rsidP="0038415C">
            <w:pPr>
              <w:pStyle w:val="a5"/>
              <w:spacing w:line="240" w:lineRule="auto"/>
              <w:ind w:leftChars="0" w:left="0"/>
              <w:rPr>
                <w:b/>
                <w:sz w:val="24"/>
                <w:szCs w:val="24"/>
              </w:rPr>
            </w:pPr>
            <w:r>
              <w:rPr>
                <w:rFonts w:hint="eastAsia"/>
                <w:b/>
                <w:sz w:val="24"/>
                <w:szCs w:val="24"/>
              </w:rPr>
              <w:t>◎</w:t>
            </w:r>
            <w:r w:rsidR="001429FF" w:rsidRPr="0038415C">
              <w:rPr>
                <w:rFonts w:hint="eastAsia"/>
                <w:b/>
                <w:sz w:val="24"/>
                <w:szCs w:val="24"/>
              </w:rPr>
              <w:t>湯德章</w:t>
            </w:r>
            <w:r w:rsidR="00C216C3" w:rsidRPr="0038415C">
              <w:rPr>
                <w:rFonts w:hint="eastAsia"/>
                <w:b/>
                <w:sz w:val="24"/>
                <w:szCs w:val="24"/>
              </w:rPr>
              <w:t>簡介</w:t>
            </w:r>
          </w:p>
          <w:p w:rsidR="001429FF" w:rsidRDefault="001429FF" w:rsidP="005737A1">
            <w:pPr>
              <w:pStyle w:val="a5"/>
              <w:spacing w:line="240" w:lineRule="auto"/>
              <w:ind w:leftChars="0" w:left="0" w:firstLine="432"/>
              <w:rPr>
                <w:sz w:val="24"/>
                <w:szCs w:val="24"/>
              </w:rPr>
            </w:pPr>
            <w:r w:rsidRPr="001429FF">
              <w:rPr>
                <w:rFonts w:hint="eastAsia"/>
                <w:sz w:val="24"/>
                <w:szCs w:val="24"/>
              </w:rPr>
              <w:t>湯德章（</w:t>
            </w:r>
            <w:r w:rsidRPr="001429FF">
              <w:rPr>
                <w:sz w:val="24"/>
                <w:szCs w:val="24"/>
              </w:rPr>
              <w:t>1907</w:t>
            </w:r>
            <w:r w:rsidRPr="001429FF">
              <w:rPr>
                <w:rFonts w:hint="eastAsia"/>
                <w:sz w:val="24"/>
                <w:szCs w:val="24"/>
              </w:rPr>
              <w:t>年</w:t>
            </w:r>
            <w:r w:rsidRPr="001429FF">
              <w:rPr>
                <w:sz w:val="24"/>
                <w:szCs w:val="24"/>
              </w:rPr>
              <w:t>1</w:t>
            </w:r>
            <w:r w:rsidRPr="001429FF">
              <w:rPr>
                <w:rFonts w:hint="eastAsia"/>
                <w:sz w:val="24"/>
                <w:szCs w:val="24"/>
              </w:rPr>
              <w:t>月</w:t>
            </w:r>
            <w:r w:rsidRPr="001429FF">
              <w:rPr>
                <w:sz w:val="24"/>
                <w:szCs w:val="24"/>
              </w:rPr>
              <w:t>6</w:t>
            </w:r>
            <w:r w:rsidRPr="001429FF">
              <w:rPr>
                <w:rFonts w:hint="eastAsia"/>
                <w:sz w:val="24"/>
                <w:szCs w:val="24"/>
              </w:rPr>
              <w:t>日－</w:t>
            </w:r>
            <w:r w:rsidRPr="001429FF">
              <w:rPr>
                <w:sz w:val="24"/>
                <w:szCs w:val="24"/>
              </w:rPr>
              <w:t>1947</w:t>
            </w:r>
            <w:r w:rsidRPr="001429FF">
              <w:rPr>
                <w:rFonts w:hint="eastAsia"/>
                <w:sz w:val="24"/>
                <w:szCs w:val="24"/>
              </w:rPr>
              <w:t>年</w:t>
            </w:r>
            <w:r w:rsidRPr="001429FF">
              <w:rPr>
                <w:sz w:val="24"/>
                <w:szCs w:val="24"/>
              </w:rPr>
              <w:t>3</w:t>
            </w:r>
            <w:r w:rsidRPr="001429FF">
              <w:rPr>
                <w:rFonts w:hint="eastAsia"/>
                <w:sz w:val="24"/>
                <w:szCs w:val="24"/>
              </w:rPr>
              <w:t>月</w:t>
            </w:r>
            <w:r w:rsidRPr="001429FF">
              <w:rPr>
                <w:sz w:val="24"/>
                <w:szCs w:val="24"/>
              </w:rPr>
              <w:t>13</w:t>
            </w:r>
            <w:r w:rsidRPr="001429FF">
              <w:rPr>
                <w:rFonts w:hint="eastAsia"/>
                <w:sz w:val="24"/>
                <w:szCs w:val="24"/>
              </w:rPr>
              <w:t>日），臺灣臺南人，原名坂井德章、新居德章，噍吧哖公學校畢業後，越級報考臺南師範學校，礙於父親病逝，遂輟學返家從事農業工作，並在當地糖廠打工，傳說他一面自修中文四書五經，一面練習武術，之後超齡報考臺北警察練習所，因成績優異且父親是日本人，而被破格錄取，隨後歷任臺南州東石郡巡查、</w:t>
            </w:r>
            <w:r w:rsidRPr="001429FF">
              <w:rPr>
                <w:sz w:val="24"/>
                <w:szCs w:val="24"/>
              </w:rPr>
              <w:t>1928</w:t>
            </w:r>
            <w:r w:rsidRPr="001429FF">
              <w:rPr>
                <w:rFonts w:hint="eastAsia"/>
                <w:sz w:val="24"/>
                <w:szCs w:val="24"/>
              </w:rPr>
              <w:t>年結婚、</w:t>
            </w:r>
            <w:r w:rsidRPr="001429FF">
              <w:rPr>
                <w:sz w:val="24"/>
                <w:szCs w:val="24"/>
              </w:rPr>
              <w:t>1929</w:t>
            </w:r>
            <w:r w:rsidRPr="001429FF">
              <w:rPr>
                <w:rFonts w:hint="eastAsia"/>
                <w:sz w:val="24"/>
                <w:szCs w:val="24"/>
              </w:rPr>
              <w:t>年日本國普通文官考試及格、</w:t>
            </w:r>
            <w:r w:rsidRPr="001429FF">
              <w:rPr>
                <w:sz w:val="24"/>
                <w:szCs w:val="24"/>
              </w:rPr>
              <w:t>1930</w:t>
            </w:r>
            <w:r w:rsidRPr="001429FF">
              <w:rPr>
                <w:rFonts w:hint="eastAsia"/>
                <w:sz w:val="24"/>
                <w:szCs w:val="24"/>
              </w:rPr>
              <w:t>年任臺南開山派出所次席巡查、</w:t>
            </w:r>
            <w:r w:rsidRPr="001429FF">
              <w:rPr>
                <w:sz w:val="24"/>
                <w:szCs w:val="24"/>
              </w:rPr>
              <w:t>1934</w:t>
            </w:r>
            <w:r w:rsidRPr="001429FF">
              <w:rPr>
                <w:rFonts w:hint="eastAsia"/>
                <w:sz w:val="24"/>
                <w:szCs w:val="24"/>
              </w:rPr>
              <w:t>年任臺南州警部補、後轉任為新豐郡保安衛生系。</w:t>
            </w:r>
            <w:r w:rsidRPr="001429FF">
              <w:rPr>
                <w:sz w:val="24"/>
                <w:szCs w:val="24"/>
              </w:rPr>
              <w:t>1939</w:t>
            </w:r>
            <w:r w:rsidRPr="001429FF">
              <w:rPr>
                <w:rFonts w:hint="eastAsia"/>
                <w:sz w:val="24"/>
                <w:szCs w:val="24"/>
              </w:rPr>
              <w:t>年，他覺得上級與同僚間對他有種族歧視，憤而離職，脫離日本警界。後隨即去投靠在東京的叔父「坂井又藏」，被收為養子，又改回原名「坂井德章」，並赴東京中央大學研修。</w:t>
            </w:r>
            <w:r w:rsidRPr="001429FF">
              <w:rPr>
                <w:sz w:val="24"/>
                <w:szCs w:val="24"/>
              </w:rPr>
              <w:t>1942</w:t>
            </w:r>
            <w:r w:rsidRPr="001429FF">
              <w:rPr>
                <w:rFonts w:hint="eastAsia"/>
                <w:sz w:val="24"/>
                <w:szCs w:val="24"/>
              </w:rPr>
              <w:t>年日本國高等文官考試司法科及格，同年返台，正式被等註冊為日本國台灣總督府執業弁護士。戰後，日本投降，國民政府接管臺灣，</w:t>
            </w:r>
            <w:r w:rsidRPr="001429FF">
              <w:rPr>
                <w:sz w:val="24"/>
                <w:szCs w:val="24"/>
              </w:rPr>
              <w:t>1945</w:t>
            </w:r>
            <w:r w:rsidRPr="001429FF">
              <w:rPr>
                <w:rFonts w:hint="eastAsia"/>
                <w:sz w:val="24"/>
                <w:szCs w:val="24"/>
              </w:rPr>
              <w:t>年</w:t>
            </w:r>
            <w:r w:rsidRPr="001429FF">
              <w:rPr>
                <w:sz w:val="24"/>
                <w:szCs w:val="24"/>
              </w:rPr>
              <w:t>11</w:t>
            </w:r>
            <w:r w:rsidRPr="001429FF">
              <w:rPr>
                <w:rFonts w:hint="eastAsia"/>
                <w:sz w:val="24"/>
                <w:szCs w:val="24"/>
              </w:rPr>
              <w:t>月被選為臺南市南區區長。</w:t>
            </w:r>
            <w:r w:rsidRPr="001429FF">
              <w:rPr>
                <w:sz w:val="24"/>
                <w:szCs w:val="24"/>
              </w:rPr>
              <w:t>1946</w:t>
            </w:r>
            <w:r w:rsidRPr="001429FF">
              <w:rPr>
                <w:rFonts w:hint="eastAsia"/>
                <w:sz w:val="24"/>
                <w:szCs w:val="24"/>
              </w:rPr>
              <w:t>年在臺灣省參</w:t>
            </w:r>
            <w:r w:rsidR="000E02C2">
              <w:rPr>
                <w:rFonts w:hint="eastAsia"/>
                <w:sz w:val="24"/>
                <w:szCs w:val="24"/>
              </w:rPr>
              <w:t>議會參議員選舉中，被列為候補參議員。之後在二二八事件中，當時</w:t>
            </w:r>
            <w:r w:rsidRPr="001429FF">
              <w:rPr>
                <w:rFonts w:hint="eastAsia"/>
                <w:sz w:val="24"/>
                <w:szCs w:val="24"/>
              </w:rPr>
              <w:t>國軍第</w:t>
            </w:r>
            <w:r w:rsidRPr="001429FF">
              <w:rPr>
                <w:sz w:val="24"/>
                <w:szCs w:val="24"/>
              </w:rPr>
              <w:t>21</w:t>
            </w:r>
            <w:r w:rsidRPr="001429FF">
              <w:rPr>
                <w:rFonts w:hint="eastAsia"/>
                <w:sz w:val="24"/>
                <w:szCs w:val="24"/>
              </w:rPr>
              <w:t>師派出憲警進入臺南，隨即以叛亂罪名，於</w:t>
            </w:r>
            <w:r w:rsidRPr="001429FF">
              <w:rPr>
                <w:sz w:val="24"/>
                <w:szCs w:val="24"/>
              </w:rPr>
              <w:t>3</w:t>
            </w:r>
            <w:r w:rsidRPr="001429FF">
              <w:rPr>
                <w:rFonts w:hint="eastAsia"/>
                <w:sz w:val="24"/>
                <w:szCs w:val="24"/>
              </w:rPr>
              <w:t>月</w:t>
            </w:r>
            <w:r w:rsidRPr="001429FF">
              <w:rPr>
                <w:sz w:val="24"/>
                <w:szCs w:val="24"/>
              </w:rPr>
              <w:t>13</w:t>
            </w:r>
            <w:r w:rsidRPr="001429FF">
              <w:rPr>
                <w:rFonts w:hint="eastAsia"/>
                <w:sz w:val="24"/>
                <w:szCs w:val="24"/>
              </w:rPr>
              <w:t>日押赴民生綠園公開槍決。</w:t>
            </w:r>
          </w:p>
          <w:p w:rsidR="0059786B" w:rsidRPr="001429FF" w:rsidRDefault="0059786B" w:rsidP="005737A1">
            <w:pPr>
              <w:pStyle w:val="a5"/>
              <w:spacing w:line="240" w:lineRule="auto"/>
              <w:ind w:leftChars="0" w:left="0" w:firstLine="432"/>
              <w:rPr>
                <w:sz w:val="24"/>
                <w:szCs w:val="24"/>
              </w:rPr>
            </w:pPr>
          </w:p>
          <w:p w:rsidR="0059786B" w:rsidRDefault="0059786B" w:rsidP="0059786B">
            <w:pPr>
              <w:jc w:val="both"/>
              <w:rPr>
                <w:rFonts w:ascii="標楷體" w:eastAsia="標楷體" w:hAnsi="標楷體"/>
              </w:rPr>
            </w:pPr>
            <w:r w:rsidRPr="005335B0">
              <w:rPr>
                <w:rFonts w:ascii="標楷體" w:eastAsia="標楷體" w:hAnsi="標楷體" w:hint="eastAsia"/>
              </w:rPr>
              <w:lastRenderedPageBreak/>
              <w:t>★資料來源：</w:t>
            </w:r>
          </w:p>
          <w:p w:rsidR="0059786B" w:rsidRDefault="0059786B" w:rsidP="0059786B">
            <w:pPr>
              <w:jc w:val="both"/>
              <w:rPr>
                <w:rFonts w:ascii="標楷體" w:eastAsia="標楷體" w:hAnsi="標楷體"/>
              </w:rPr>
            </w:pPr>
            <w:r>
              <w:rPr>
                <w:rFonts w:ascii="標楷體" w:eastAsia="標楷體" w:hAnsi="標楷體" w:hint="eastAsia"/>
              </w:rPr>
              <w:t>維基百科</w:t>
            </w:r>
          </w:p>
          <w:p w:rsidR="00665BE3" w:rsidRPr="0059786B" w:rsidRDefault="00E27723" w:rsidP="000E02C2">
            <w:pPr>
              <w:pStyle w:val="a5"/>
              <w:spacing w:line="240" w:lineRule="auto"/>
              <w:ind w:leftChars="0" w:left="0"/>
              <w:rPr>
                <w:sz w:val="24"/>
                <w:szCs w:val="24"/>
              </w:rPr>
            </w:pPr>
            <w:r w:rsidRPr="00E27723">
              <w:rPr>
                <w:sz w:val="24"/>
                <w:szCs w:val="24"/>
              </w:rPr>
              <w:t>http://zh.wikipedia.org/wiki/%E6%B9%AF%E5%BE%B7%E7%AB%A0</w:t>
            </w:r>
          </w:p>
          <w:p w:rsidR="00C216C3" w:rsidRPr="005737A1" w:rsidRDefault="00FB78CA" w:rsidP="0038415C">
            <w:pPr>
              <w:pStyle w:val="a5"/>
              <w:spacing w:line="240" w:lineRule="auto"/>
              <w:ind w:leftChars="0" w:left="0" w:firstLine="432"/>
              <w:rPr>
                <w:sz w:val="24"/>
                <w:szCs w:val="24"/>
              </w:rPr>
            </w:pPr>
            <w:r w:rsidRPr="005737A1">
              <w:rPr>
                <w:sz w:val="24"/>
                <w:szCs w:val="24"/>
              </w:rPr>
              <w:t xml:space="preserve">    </w:t>
            </w:r>
          </w:p>
        </w:tc>
      </w:tr>
      <w:tr w:rsidR="008923EF" w:rsidRPr="00774F0E" w:rsidTr="005335B0">
        <w:tc>
          <w:tcPr>
            <w:tcW w:w="1908" w:type="dxa"/>
            <w:shd w:val="clear" w:color="auto" w:fill="auto"/>
          </w:tcPr>
          <w:p w:rsidR="00332A80" w:rsidRPr="005335B0" w:rsidRDefault="00332A80" w:rsidP="00466CEB">
            <w:pPr>
              <w:jc w:val="both"/>
              <w:rPr>
                <w:rFonts w:ascii="標楷體" w:eastAsia="標楷體" w:hAnsi="標楷體"/>
              </w:rPr>
            </w:pPr>
            <w:r w:rsidRPr="005335B0">
              <w:rPr>
                <w:rFonts w:ascii="標楷體" w:eastAsia="標楷體" w:hAnsi="標楷體" w:hint="eastAsia"/>
              </w:rPr>
              <w:lastRenderedPageBreak/>
              <w:t>課程發展建議</w:t>
            </w:r>
          </w:p>
        </w:tc>
        <w:tc>
          <w:tcPr>
            <w:tcW w:w="7786" w:type="dxa"/>
            <w:shd w:val="clear" w:color="auto" w:fill="auto"/>
          </w:tcPr>
          <w:p w:rsidR="003142B1" w:rsidRDefault="005A7349" w:rsidP="005335B0">
            <w:pPr>
              <w:jc w:val="both"/>
              <w:rPr>
                <w:rFonts w:ascii="標楷體" w:eastAsia="標楷體" w:hAnsi="標楷體"/>
              </w:rPr>
            </w:pPr>
            <w:r>
              <w:rPr>
                <w:rFonts w:ascii="標楷體" w:eastAsia="標楷體" w:hAnsi="標楷體" w:hint="eastAsia"/>
              </w:rPr>
              <w:t>1.配合國中小課本課程</w:t>
            </w:r>
            <w:r>
              <w:rPr>
                <w:rFonts w:ascii="新細明體" w:hAnsi="新細明體" w:hint="eastAsia"/>
              </w:rPr>
              <w:t>，</w:t>
            </w:r>
            <w:r w:rsidR="00774F0E">
              <w:rPr>
                <w:rFonts w:ascii="標楷體" w:eastAsia="標楷體" w:hAnsi="標楷體" w:hint="eastAsia"/>
              </w:rPr>
              <w:t>作為</w:t>
            </w:r>
            <w:r>
              <w:rPr>
                <w:rFonts w:ascii="標楷體" w:eastAsia="標楷體" w:hAnsi="標楷體" w:hint="eastAsia"/>
              </w:rPr>
              <w:t>228歷史補充教材解釋</w:t>
            </w:r>
            <w:r>
              <w:rPr>
                <w:rFonts w:ascii="新細明體" w:hAnsi="新細明體" w:hint="eastAsia"/>
              </w:rPr>
              <w:t>。</w:t>
            </w:r>
          </w:p>
          <w:p w:rsidR="005A7349" w:rsidRDefault="005A7349" w:rsidP="005335B0">
            <w:pPr>
              <w:jc w:val="both"/>
              <w:rPr>
                <w:rFonts w:ascii="新細明體" w:hAnsi="新細明體"/>
              </w:rPr>
            </w:pPr>
            <w:r>
              <w:rPr>
                <w:rFonts w:ascii="標楷體" w:eastAsia="標楷體" w:hAnsi="標楷體" w:hint="eastAsia"/>
              </w:rPr>
              <w:t>2.建議發展學生思考延伸之能力</w:t>
            </w:r>
            <w:r>
              <w:rPr>
                <w:rFonts w:ascii="新細明體" w:hAnsi="新細明體" w:hint="eastAsia"/>
              </w:rPr>
              <w:t>。</w:t>
            </w:r>
            <w:r>
              <w:rPr>
                <w:rFonts w:ascii="標楷體" w:eastAsia="標楷體" w:hAnsi="標楷體" w:hint="eastAsia"/>
              </w:rPr>
              <w:t>理解歷史內容</w:t>
            </w:r>
            <w:r>
              <w:rPr>
                <w:rFonts w:ascii="新細明體" w:hAnsi="新細明體" w:hint="eastAsia"/>
              </w:rPr>
              <w:t>，</w:t>
            </w:r>
            <w:r>
              <w:rPr>
                <w:rFonts w:ascii="標楷體" w:eastAsia="標楷體" w:hAnsi="標楷體" w:hint="eastAsia"/>
              </w:rPr>
              <w:t>衍申思考現實生活之類似事件</w:t>
            </w:r>
            <w:r>
              <w:rPr>
                <w:rFonts w:ascii="新細明體" w:hAnsi="新細明體" w:hint="eastAsia"/>
              </w:rPr>
              <w:t>。</w:t>
            </w:r>
          </w:p>
          <w:p w:rsidR="005A7349" w:rsidRDefault="005A7349" w:rsidP="005335B0">
            <w:pPr>
              <w:jc w:val="both"/>
              <w:rPr>
                <w:rFonts w:ascii="新細明體" w:hAnsi="新細明體"/>
              </w:rPr>
            </w:pPr>
            <w:r>
              <w:rPr>
                <w:rFonts w:ascii="新細明體" w:hAnsi="新細明體" w:hint="eastAsia"/>
              </w:rPr>
              <w:t xml:space="preserve">  </w:t>
            </w:r>
            <w:r w:rsidRPr="005A7349">
              <w:rPr>
                <w:rFonts w:ascii="標楷體" w:eastAsia="標楷體" w:hAnsi="標楷體" w:hint="eastAsia"/>
              </w:rPr>
              <w:t>期能</w:t>
            </w:r>
            <w:r>
              <w:rPr>
                <w:rFonts w:ascii="標楷體" w:eastAsia="標楷體" w:hAnsi="標楷體" w:hint="eastAsia"/>
              </w:rPr>
              <w:t>幫助學生體會人權之內涵</w:t>
            </w:r>
            <w:r>
              <w:rPr>
                <w:rFonts w:ascii="新細明體" w:hAnsi="新細明體" w:hint="eastAsia"/>
              </w:rPr>
              <w:t>，</w:t>
            </w:r>
            <w:r>
              <w:rPr>
                <w:rFonts w:ascii="標楷體" w:eastAsia="標楷體" w:hAnsi="標楷體" w:hint="eastAsia"/>
              </w:rPr>
              <w:t>進而內化至學生行為之中</w:t>
            </w:r>
            <w:r>
              <w:rPr>
                <w:rFonts w:ascii="新細明體" w:hAnsi="新細明體" w:hint="eastAsia"/>
              </w:rPr>
              <w:t>。</w:t>
            </w:r>
          </w:p>
          <w:p w:rsidR="00803592" w:rsidRDefault="00774F0E" w:rsidP="005335B0">
            <w:pPr>
              <w:jc w:val="both"/>
              <w:rPr>
                <w:rFonts w:ascii="標楷體" w:eastAsia="標楷體" w:hAnsi="標楷體"/>
              </w:rPr>
            </w:pPr>
            <w:r>
              <w:rPr>
                <w:rFonts w:ascii="標楷體" w:eastAsia="標楷體" w:hAnsi="標楷體" w:hint="eastAsia"/>
              </w:rPr>
              <w:t>3.人權景點教學主要</w:t>
            </w:r>
            <w:r w:rsidR="00803592">
              <w:rPr>
                <w:rFonts w:ascii="標楷體" w:eastAsia="標楷體" w:hAnsi="標楷體" w:hint="eastAsia"/>
              </w:rPr>
              <w:t>目的</w:t>
            </w:r>
            <w:r>
              <w:rPr>
                <w:rFonts w:ascii="標楷體" w:eastAsia="標楷體" w:hAnsi="標楷體" w:hint="eastAsia"/>
              </w:rPr>
              <w:t>在藉由真實歷史事件</w:t>
            </w:r>
            <w:r>
              <w:rPr>
                <w:rFonts w:ascii="新細明體" w:hAnsi="新細明體" w:hint="eastAsia"/>
              </w:rPr>
              <w:t>，</w:t>
            </w:r>
            <w:r>
              <w:rPr>
                <w:rFonts w:ascii="標楷體" w:eastAsia="標楷體" w:hAnsi="標楷體" w:hint="eastAsia"/>
              </w:rPr>
              <w:t>以具體景點參訪</w:t>
            </w:r>
            <w:r w:rsidR="00803592">
              <w:rPr>
                <w:rFonts w:ascii="新細明體" w:hAnsi="新細明體" w:hint="eastAsia"/>
              </w:rPr>
              <w:t>，</w:t>
            </w:r>
            <w:r w:rsidR="00803592">
              <w:rPr>
                <w:rFonts w:ascii="標楷體" w:eastAsia="標楷體" w:hAnsi="標楷體" w:hint="eastAsia"/>
              </w:rPr>
              <w:t>將</w:t>
            </w:r>
            <w:r w:rsidR="00803592" w:rsidRPr="00803592">
              <w:rPr>
                <w:rFonts w:ascii="標楷體" w:eastAsia="標楷體" w:hAnsi="標楷體" w:hint="eastAsia"/>
              </w:rPr>
              <w:t>歷史事</w:t>
            </w:r>
            <w:r w:rsidR="00803592">
              <w:rPr>
                <w:rFonts w:ascii="標楷體" w:eastAsia="標楷體" w:hAnsi="標楷體" w:hint="eastAsia"/>
              </w:rPr>
              <w:t xml:space="preserve">件具象 </w:t>
            </w:r>
          </w:p>
          <w:p w:rsidR="00FB65EF" w:rsidRDefault="00803592" w:rsidP="005335B0">
            <w:pPr>
              <w:jc w:val="both"/>
              <w:rPr>
                <w:rFonts w:ascii="標楷體" w:eastAsia="標楷體" w:hAnsi="標楷體"/>
              </w:rPr>
            </w:pPr>
            <w:r>
              <w:rPr>
                <w:rFonts w:ascii="標楷體" w:eastAsia="標楷體" w:hAnsi="標楷體" w:hint="eastAsia"/>
              </w:rPr>
              <w:t xml:space="preserve">  化</w:t>
            </w:r>
            <w:r>
              <w:rPr>
                <w:rFonts w:ascii="新細明體" w:hAnsi="新細明體" w:hint="eastAsia"/>
              </w:rPr>
              <w:t>。</w:t>
            </w:r>
            <w:r>
              <w:rPr>
                <w:rFonts w:ascii="標楷體" w:eastAsia="標楷體" w:hAnsi="標楷體" w:hint="eastAsia"/>
              </w:rPr>
              <w:t>教學主軸不僅</w:t>
            </w:r>
            <w:r w:rsidR="00FB65EF">
              <w:rPr>
                <w:rFonts w:ascii="標楷體" w:eastAsia="標楷體" w:hAnsi="標楷體" w:hint="eastAsia"/>
              </w:rPr>
              <w:t>侷限</w:t>
            </w:r>
            <w:r>
              <w:rPr>
                <w:rFonts w:ascii="標楷體" w:eastAsia="標楷體" w:hAnsi="標楷體" w:hint="eastAsia"/>
              </w:rPr>
              <w:t>歷史事件內容</w:t>
            </w:r>
            <w:r>
              <w:rPr>
                <w:rFonts w:ascii="新細明體" w:hAnsi="新細明體" w:hint="eastAsia"/>
              </w:rPr>
              <w:t>，</w:t>
            </w:r>
            <w:r>
              <w:rPr>
                <w:rFonts w:ascii="標楷體" w:eastAsia="標楷體" w:hAnsi="標楷體" w:hint="eastAsia"/>
              </w:rPr>
              <w:t>應適時發展</w:t>
            </w:r>
            <w:r w:rsidR="00FB65EF">
              <w:rPr>
                <w:rFonts w:ascii="標楷體" w:eastAsia="標楷體" w:hAnsi="標楷體" w:hint="eastAsia"/>
              </w:rPr>
              <w:t>其精神意涵</w:t>
            </w:r>
            <w:r>
              <w:rPr>
                <w:rFonts w:ascii="標楷體" w:eastAsia="標楷體" w:hAnsi="標楷體" w:hint="eastAsia"/>
              </w:rPr>
              <w:t>連接現實</w:t>
            </w:r>
            <w:r w:rsidR="00FB65EF">
              <w:rPr>
                <w:rFonts w:ascii="標楷體" w:eastAsia="標楷體" w:hAnsi="標楷體" w:hint="eastAsia"/>
              </w:rPr>
              <w:t>生活之事</w:t>
            </w:r>
          </w:p>
          <w:p w:rsidR="00774F0E" w:rsidRPr="005335B0" w:rsidRDefault="00FB65EF" w:rsidP="00803592">
            <w:pPr>
              <w:jc w:val="both"/>
              <w:rPr>
                <w:rFonts w:ascii="標楷體" w:eastAsia="標楷體" w:hAnsi="標楷體"/>
              </w:rPr>
            </w:pPr>
            <w:r>
              <w:rPr>
                <w:rFonts w:ascii="標楷體" w:eastAsia="標楷體" w:hAnsi="標楷體" w:hint="eastAsia"/>
              </w:rPr>
              <w:t xml:space="preserve">  件</w:t>
            </w:r>
            <w:r>
              <w:rPr>
                <w:rFonts w:ascii="新細明體" w:hAnsi="新細明體" w:hint="eastAsia"/>
              </w:rPr>
              <w:t>，</w:t>
            </w:r>
            <w:r>
              <w:rPr>
                <w:rFonts w:ascii="標楷體" w:eastAsia="標楷體" w:hAnsi="標楷體" w:hint="eastAsia"/>
              </w:rPr>
              <w:t>才不至令人權流於文字教材</w:t>
            </w:r>
            <w:r>
              <w:rPr>
                <w:rFonts w:ascii="新細明體" w:hAnsi="新細明體" w:hint="eastAsia"/>
              </w:rPr>
              <w:t>。</w:t>
            </w:r>
          </w:p>
        </w:tc>
      </w:tr>
    </w:tbl>
    <w:p w:rsidR="006C74F1" w:rsidRDefault="006C74F1" w:rsidP="00774F0E">
      <w:pPr>
        <w:pStyle w:val="a5"/>
        <w:ind w:leftChars="0" w:left="0"/>
        <w:rPr>
          <w:color w:val="000000"/>
          <w:sz w:val="24"/>
          <w:szCs w:val="24"/>
        </w:rPr>
      </w:pPr>
      <w:r>
        <w:rPr>
          <w:color w:val="000000"/>
          <w:sz w:val="24"/>
          <w:szCs w:val="24"/>
        </w:rPr>
        <w:br w:type="page"/>
      </w:r>
      <w:r w:rsidR="00143358">
        <w:rPr>
          <w:rFonts w:hint="eastAsia"/>
          <w:color w:val="000000"/>
          <w:sz w:val="24"/>
          <w:szCs w:val="24"/>
        </w:rPr>
        <w:lastRenderedPageBreak/>
        <w:t>附件</w:t>
      </w:r>
      <w:r w:rsidR="00143358">
        <w:rPr>
          <w:rFonts w:ascii="新細明體" w:eastAsia="新細明體" w:hAnsi="新細明體" w:hint="eastAsia"/>
          <w:color w:val="000000"/>
          <w:sz w:val="24"/>
          <w:szCs w:val="24"/>
        </w:rPr>
        <w:t>：</w:t>
      </w:r>
      <w:bookmarkStart w:id="0" w:name="_GoBack"/>
      <w:bookmarkEnd w:id="0"/>
      <w:r>
        <w:rPr>
          <w:rFonts w:hint="eastAsia"/>
          <w:color w:val="000000"/>
          <w:sz w:val="24"/>
          <w:szCs w:val="24"/>
        </w:rPr>
        <w:t>拜訪</w:t>
      </w:r>
      <w:r w:rsidR="00466CEB" w:rsidRPr="00466CEB">
        <w:rPr>
          <w:rFonts w:hint="eastAsia"/>
          <w:color w:val="000000"/>
          <w:sz w:val="24"/>
          <w:szCs w:val="24"/>
        </w:rPr>
        <w:t>湯德章紀念公園</w:t>
      </w:r>
      <w:r>
        <w:rPr>
          <w:rFonts w:hint="eastAsia"/>
          <w:color w:val="000000"/>
          <w:sz w:val="24"/>
          <w:szCs w:val="24"/>
        </w:rPr>
        <w:t>學習單</w:t>
      </w:r>
    </w:p>
    <w:p w:rsidR="006C74F1" w:rsidRPr="00466CEB" w:rsidRDefault="00466CEB" w:rsidP="006C74F1">
      <w:pPr>
        <w:ind w:firstLineChars="141" w:firstLine="790"/>
        <w:jc w:val="center"/>
        <w:rPr>
          <w:rFonts w:ascii="華康儷楷書" w:eastAsia="華康儷楷書" w:hAnsi="新細明體"/>
          <w:color w:val="C00000"/>
          <w:sz w:val="56"/>
          <w:szCs w:val="40"/>
        </w:rPr>
      </w:pPr>
      <w:r w:rsidRPr="00466CEB">
        <w:rPr>
          <w:rFonts w:ascii="華康儷楷書" w:eastAsia="華康儷楷書" w:hAnsi="新細明體" w:hint="eastAsia"/>
          <w:color w:val="C00000"/>
          <w:sz w:val="56"/>
          <w:szCs w:val="40"/>
        </w:rPr>
        <w:t>拜訪湯德章紀念公園</w:t>
      </w:r>
    </w:p>
    <w:p w:rsidR="00466CEB" w:rsidRDefault="006C74F1" w:rsidP="006C74F1">
      <w:pPr>
        <w:ind w:firstLineChars="141" w:firstLine="338"/>
        <w:jc w:val="center"/>
        <w:rPr>
          <w:rFonts w:ascii="新細明體" w:hAnsi="新細明體"/>
        </w:rPr>
      </w:pPr>
      <w:r>
        <w:rPr>
          <w:rFonts w:ascii="新細明體" w:hAnsi="新細明體" w:hint="eastAsia"/>
        </w:rPr>
        <w:t xml:space="preserve">     </w:t>
      </w:r>
      <w:r w:rsidRPr="00F410EF">
        <w:rPr>
          <w:rFonts w:ascii="新細明體" w:hAnsi="新細明體" w:hint="eastAsia"/>
        </w:rPr>
        <w:t xml:space="preserve"> </w:t>
      </w:r>
      <w:r w:rsidRPr="00F410EF">
        <w:rPr>
          <w:rFonts w:ascii="新細明體" w:hAnsi="新細明體" w:hint="eastAsia"/>
          <w:u w:val="single"/>
        </w:rPr>
        <w:t xml:space="preserve"> </w:t>
      </w:r>
      <w:r>
        <w:rPr>
          <w:rFonts w:ascii="新細明體" w:hAnsi="新細明體" w:hint="eastAsia"/>
          <w:u w:val="single"/>
        </w:rPr>
        <w:t xml:space="preserve">   </w:t>
      </w:r>
      <w:r w:rsidRPr="00F410EF">
        <w:rPr>
          <w:rFonts w:ascii="新細明體" w:hAnsi="新細明體" w:hint="eastAsia"/>
        </w:rPr>
        <w:t xml:space="preserve">年 </w:t>
      </w:r>
      <w:r w:rsidRPr="00F410EF">
        <w:rPr>
          <w:rFonts w:ascii="新細明體" w:hAnsi="新細明體" w:hint="eastAsia"/>
          <w:u w:val="single"/>
        </w:rPr>
        <w:t xml:space="preserve">    </w:t>
      </w:r>
      <w:r w:rsidRPr="00F410EF">
        <w:rPr>
          <w:rFonts w:ascii="新細明體" w:hAnsi="新細明體" w:hint="eastAsia"/>
        </w:rPr>
        <w:t xml:space="preserve"> 班 </w:t>
      </w:r>
      <w:r w:rsidRPr="00F410EF">
        <w:rPr>
          <w:rFonts w:ascii="新細明體" w:hAnsi="新細明體" w:hint="eastAsia"/>
          <w:u w:val="single"/>
        </w:rPr>
        <w:t xml:space="preserve">    </w:t>
      </w:r>
      <w:r w:rsidRPr="00F410EF">
        <w:rPr>
          <w:rFonts w:ascii="新細明體" w:hAnsi="新細明體" w:hint="eastAsia"/>
        </w:rPr>
        <w:t>號    姓名</w:t>
      </w:r>
      <w:r w:rsidRPr="000A0198">
        <w:rPr>
          <w:rFonts w:ascii="新細明體" w:hAnsi="新細明體" w:hint="eastAsia"/>
          <w:u w:val="single"/>
        </w:rPr>
        <w:t xml:space="preserve">  </w:t>
      </w:r>
      <w:r>
        <w:rPr>
          <w:rFonts w:ascii="新細明體" w:hAnsi="新細明體" w:hint="eastAsia"/>
          <w:u w:val="single"/>
        </w:rPr>
        <w:t xml:space="preserve">       </w:t>
      </w:r>
      <w:r w:rsidRPr="000A0198">
        <w:rPr>
          <w:rFonts w:ascii="新細明體" w:hAnsi="新細明體" w:hint="eastAsia"/>
          <w:u w:val="single"/>
        </w:rPr>
        <w:t xml:space="preserve">   </w:t>
      </w:r>
      <w:r>
        <w:rPr>
          <w:rFonts w:ascii="新細明體" w:hAnsi="新細明體" w:hint="eastAsia"/>
        </w:rPr>
        <w:t xml:space="preserve"> </w:t>
      </w:r>
      <w:r w:rsidRPr="000A0198">
        <w:rPr>
          <w:rFonts w:ascii="新細明體" w:hAnsi="新細明體" w:hint="eastAsia"/>
        </w:rPr>
        <w:t xml:space="preserve">  </w:t>
      </w:r>
    </w:p>
    <w:p w:rsidR="00466CEB" w:rsidRPr="000A0198" w:rsidRDefault="006C74F1" w:rsidP="00466CEB">
      <w:pPr>
        <w:ind w:firstLineChars="141" w:firstLine="338"/>
        <w:rPr>
          <w:rFonts w:ascii="新細明體" w:hAnsi="新細明體"/>
        </w:rPr>
      </w:pPr>
      <w:r w:rsidRPr="000A0198">
        <w:rPr>
          <w:rFonts w:ascii="新細明體" w:hAnsi="新細明體" w:hint="eastAsia"/>
        </w:rPr>
        <w:t xml:space="preserve"> </w:t>
      </w:r>
      <w:r w:rsidR="00466CEB">
        <w:rPr>
          <w:rFonts w:ascii="新細明體" w:hAnsi="新細明體" w:hint="eastAsia"/>
        </w:rPr>
        <w:t>湯德章紀念公園位在</w:t>
      </w:r>
      <w:r w:rsidR="00466CEB" w:rsidRPr="00466CEB">
        <w:rPr>
          <w:rFonts w:ascii="新細明體" w:hAnsi="新細明體" w:hint="eastAsia"/>
        </w:rPr>
        <w:t>臺南市中西區</w:t>
      </w:r>
      <w:r w:rsidR="00466CEB">
        <w:rPr>
          <w:rFonts w:ascii="新細明體" w:hAnsi="新細明體" w:hint="eastAsia"/>
        </w:rPr>
        <w:t>，</w:t>
      </w:r>
      <w:r w:rsidR="00466CEB" w:rsidRPr="00466CEB">
        <w:rPr>
          <w:rFonts w:ascii="新細明體" w:hAnsi="新細明體" w:hint="eastAsia"/>
        </w:rPr>
        <w:t>昔稱民生綠園，現稱為湯德章紀念公園。</w:t>
      </w:r>
      <w:r w:rsidR="00EF3FE9" w:rsidRPr="00EF3FE9">
        <w:rPr>
          <w:rFonts w:ascii="新細明體" w:hAnsi="新細明體" w:hint="eastAsia"/>
        </w:rPr>
        <w:t>園中原設有日人總督兒玉源太郎雕像，故曾名為「兒玉公園」，戰後改換為孫中山雕像，並易名為「民生綠園」。後於1998年2月27日將綠園更名為「湯德章紀念公園」，於湯德章律師遭槍決處豎立半身胸像以為紀念。</w:t>
      </w:r>
    </w:p>
    <w:p w:rsidR="006C74F1" w:rsidRDefault="0012790D" w:rsidP="006C74F1">
      <w:pPr>
        <w:ind w:firstLineChars="177" w:firstLine="425"/>
        <w:rPr>
          <w:rFonts w:ascii="新細明體" w:hAnsi="新細明體"/>
        </w:rPr>
      </w:pPr>
      <w:r>
        <w:rPr>
          <w:rFonts w:ascii="新細明體" w:hAnsi="新細明體"/>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0" type="#_x0000_t97" style="position:absolute;left:0;text-align:left;margin-left:-6pt;margin-top:3.35pt;width:516pt;height:566.05pt;z-index:251655680" adj="725" filled="f" fillcolor="#cff" strokecolor="blue" strokeweight="1.5pt"/>
        </w:pict>
      </w:r>
    </w:p>
    <w:p w:rsidR="006C74F1" w:rsidRDefault="0012790D" w:rsidP="006C74F1">
      <w:pPr>
        <w:ind w:firstLineChars="177" w:firstLine="425"/>
        <w:rPr>
          <w:rFonts w:ascii="新細明體" w:hAnsi="新細明體"/>
        </w:rPr>
      </w:pPr>
      <w:r>
        <w:rPr>
          <w:rFonts w:ascii="新細明體" w:hAnsi="新細明體"/>
          <w:noProof/>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29" type="#_x0000_t60" style="position:absolute;left:0;text-align:left;margin-left:294pt;margin-top:14.75pt;width:186pt;height:234pt;z-index:-251656704" adj="1173" filled="f" strokecolor="green" strokeweight="2pt"/>
        </w:pict>
      </w:r>
      <w:r>
        <w:rPr>
          <w:rFonts w:ascii="新細明體" w:hAnsi="新細明體"/>
          <w:noProof/>
        </w:rPr>
        <w:pict>
          <v:shape id="_x0000_s1028" type="#_x0000_t60" style="position:absolute;left:0;text-align:left;margin-left:17.85pt;margin-top:14.75pt;width:264pt;height:225pt;z-index:-251657728" adj="1173" filled="f" strokecolor="#f60" strokeweight="1.75pt"/>
        </w:pict>
      </w:r>
    </w:p>
    <w:p w:rsidR="006C74F1" w:rsidRDefault="006A4105" w:rsidP="006C74F1">
      <w:pPr>
        <w:ind w:firstLineChars="177" w:firstLine="425"/>
        <w:rPr>
          <w:rFonts w:ascii="新細明體" w:hAnsi="新細明體"/>
        </w:rPr>
      </w:pPr>
      <w:r>
        <w:rPr>
          <w:noProof/>
        </w:rPr>
        <w:drawing>
          <wp:anchor distT="0" distB="0" distL="114300" distR="114300" simplePos="0" relativeHeight="251657728" behindDoc="0" locked="0" layoutInCell="1" allowOverlap="1">
            <wp:simplePos x="0" y="0"/>
            <wp:positionH relativeFrom="column">
              <wp:posOffset>3342005</wp:posOffset>
            </wp:positionH>
            <wp:positionV relativeFrom="paragraph">
              <wp:posOffset>113665</wp:posOffset>
            </wp:positionV>
            <wp:extent cx="2776855" cy="2078990"/>
            <wp:effectExtent l="266700" t="361950" r="233045" b="340360"/>
            <wp:wrapNone/>
            <wp:docPr id="15" name="圖片 15" descr="1017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171101"/>
                    <pic:cNvPicPr>
                      <a:picLocks noChangeAspect="1" noChangeArrowheads="1"/>
                    </pic:cNvPicPr>
                  </pic:nvPicPr>
                  <pic:blipFill>
                    <a:blip r:embed="rId9" cstate="print"/>
                    <a:srcRect/>
                    <a:stretch>
                      <a:fillRect/>
                    </a:stretch>
                  </pic:blipFill>
                  <pic:spPr bwMode="auto">
                    <a:xfrm rot="1002648">
                      <a:off x="0" y="0"/>
                      <a:ext cx="2776855" cy="2078990"/>
                    </a:xfrm>
                    <a:prstGeom prst="rect">
                      <a:avLst/>
                    </a:prstGeom>
                    <a:noFill/>
                  </pic:spPr>
                </pic:pic>
              </a:graphicData>
            </a:graphic>
          </wp:anchor>
        </w:drawing>
      </w:r>
    </w:p>
    <w:p w:rsidR="006C74F1" w:rsidRPr="00E469E8" w:rsidRDefault="006C74F1" w:rsidP="006C74F1">
      <w:pPr>
        <w:ind w:firstLineChars="177" w:firstLine="425"/>
        <w:rPr>
          <w:rFonts w:ascii="新細明體" w:hAnsi="新細明體"/>
        </w:rPr>
      </w:pPr>
    </w:p>
    <w:p w:rsidR="006C74F1" w:rsidRPr="009F7F7C" w:rsidRDefault="006A4105" w:rsidP="006C74F1">
      <w:pPr>
        <w:ind w:firstLineChars="177" w:firstLine="425"/>
        <w:rPr>
          <w:rFonts w:ascii="新細明體" w:hAnsi="新細明體"/>
        </w:rPr>
      </w:pPr>
      <w:r>
        <w:rPr>
          <w:noProof/>
        </w:rPr>
        <w:drawing>
          <wp:anchor distT="0" distB="0" distL="114300" distR="114300" simplePos="0" relativeHeight="251656704" behindDoc="0" locked="0" layoutInCell="1" allowOverlap="1">
            <wp:simplePos x="0" y="0"/>
            <wp:positionH relativeFrom="column">
              <wp:posOffset>155575</wp:posOffset>
            </wp:positionH>
            <wp:positionV relativeFrom="paragraph">
              <wp:posOffset>55880</wp:posOffset>
            </wp:positionV>
            <wp:extent cx="3263265" cy="1631950"/>
            <wp:effectExtent l="209550" t="552450" r="184785" b="539750"/>
            <wp:wrapNone/>
            <wp:docPr id="14" name="圖片 14" descr="990824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990824804"/>
                    <pic:cNvPicPr>
                      <a:picLocks noChangeAspect="1" noChangeArrowheads="1"/>
                    </pic:cNvPicPr>
                  </pic:nvPicPr>
                  <pic:blipFill>
                    <a:blip r:embed="rId11" cstate="print"/>
                    <a:srcRect/>
                    <a:stretch>
                      <a:fillRect/>
                    </a:stretch>
                  </pic:blipFill>
                  <pic:spPr bwMode="auto">
                    <a:xfrm rot="-1336122">
                      <a:off x="0" y="0"/>
                      <a:ext cx="3263265" cy="1631950"/>
                    </a:xfrm>
                    <a:prstGeom prst="rect">
                      <a:avLst/>
                    </a:prstGeom>
                    <a:noFill/>
                  </pic:spPr>
                </pic:pic>
              </a:graphicData>
            </a:graphic>
          </wp:anchor>
        </w:drawing>
      </w: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Pr="009F7F7C"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6C74F1" w:rsidRDefault="006C74F1" w:rsidP="006C74F1">
      <w:pPr>
        <w:ind w:left="527"/>
      </w:pPr>
      <w:r>
        <w:rPr>
          <w:rFonts w:hint="eastAsia"/>
        </w:rPr>
        <w:t>1.</w:t>
      </w:r>
      <w:r w:rsidRPr="00F410EF">
        <w:rPr>
          <w:rFonts w:hint="eastAsia"/>
        </w:rPr>
        <w:t>參觀完</w:t>
      </w:r>
      <w:r w:rsidR="00B63998" w:rsidRPr="00B63998">
        <w:rPr>
          <w:rFonts w:hint="eastAsia"/>
        </w:rPr>
        <w:t>湯德章紀念公園</w:t>
      </w:r>
      <w:r w:rsidRPr="00F410EF">
        <w:rPr>
          <w:rFonts w:cs="新細明體"/>
          <w:kern w:val="0"/>
        </w:rPr>
        <w:t>，</w:t>
      </w:r>
      <w:r w:rsidRPr="00F410EF">
        <w:rPr>
          <w:rFonts w:hint="eastAsia"/>
        </w:rPr>
        <w:t>請寫下你</w:t>
      </w:r>
      <w:r>
        <w:rPr>
          <w:rFonts w:hint="eastAsia"/>
        </w:rPr>
        <w:t>認為值得向別人介紹的</w:t>
      </w:r>
      <w:r w:rsidRPr="00F410EF">
        <w:rPr>
          <w:rFonts w:hint="eastAsia"/>
        </w:rPr>
        <w:t>事物，和大家一起分享。</w:t>
      </w:r>
    </w:p>
    <w:p w:rsidR="006C74F1" w:rsidRDefault="006C74F1" w:rsidP="006C74F1">
      <w:pPr>
        <w:ind w:left="527"/>
      </w:pPr>
    </w:p>
    <w:p w:rsidR="006C74F1" w:rsidRDefault="006C74F1" w:rsidP="006C74F1">
      <w:pPr>
        <w:ind w:left="527"/>
      </w:pPr>
    </w:p>
    <w:p w:rsidR="0084596F" w:rsidRDefault="0084596F" w:rsidP="0084596F"/>
    <w:p w:rsidR="0084596F" w:rsidRDefault="006C74F1" w:rsidP="006C74F1">
      <w:pPr>
        <w:ind w:left="480"/>
        <w:rPr>
          <w:rFonts w:cs="新細明體"/>
          <w:kern w:val="0"/>
        </w:rPr>
      </w:pPr>
      <w:r>
        <w:rPr>
          <w:rFonts w:cs="新細明體" w:hint="eastAsia"/>
          <w:kern w:val="0"/>
        </w:rPr>
        <w:t>2.</w:t>
      </w:r>
      <w:r w:rsidR="0084596F">
        <w:rPr>
          <w:rFonts w:cs="新細明體" w:hint="eastAsia"/>
          <w:kern w:val="0"/>
        </w:rPr>
        <w:t>看完</w:t>
      </w:r>
      <w:r w:rsidR="00B63998">
        <w:rPr>
          <w:rFonts w:cs="新細明體" w:hint="eastAsia"/>
          <w:kern w:val="0"/>
        </w:rPr>
        <w:t>湯德章先生的生平</w:t>
      </w:r>
      <w:r w:rsidR="0084596F">
        <w:rPr>
          <w:rFonts w:cs="新細明體" w:hint="eastAsia"/>
          <w:kern w:val="0"/>
        </w:rPr>
        <w:t>之後</w:t>
      </w:r>
      <w:r w:rsidR="0084596F">
        <w:rPr>
          <w:rFonts w:ascii="新細明體" w:hAnsi="新細明體" w:cs="新細明體" w:hint="eastAsia"/>
          <w:kern w:val="0"/>
        </w:rPr>
        <w:t>，</w:t>
      </w:r>
      <w:r w:rsidR="0084596F">
        <w:rPr>
          <w:rFonts w:cs="新細明體" w:hint="eastAsia"/>
          <w:kern w:val="0"/>
        </w:rPr>
        <w:t>知不知道我們為什麼要紀念湯德章先生呢</w:t>
      </w:r>
      <w:r>
        <w:rPr>
          <w:rFonts w:cs="新細明體" w:hint="eastAsia"/>
          <w:kern w:val="0"/>
        </w:rPr>
        <w:t>？</w:t>
      </w:r>
      <w:r w:rsidR="0084596F">
        <w:rPr>
          <w:rFonts w:cs="新細明體" w:hint="eastAsia"/>
          <w:kern w:val="0"/>
        </w:rPr>
        <w:t>請說說你</w:t>
      </w:r>
    </w:p>
    <w:p w:rsidR="006C74F1" w:rsidRPr="00E469E8" w:rsidRDefault="0084596F" w:rsidP="006C74F1">
      <w:pPr>
        <w:ind w:left="480"/>
        <w:rPr>
          <w:rFonts w:ascii="新細明體" w:hAnsi="新細明體"/>
        </w:rPr>
      </w:pPr>
      <w:r>
        <w:rPr>
          <w:rFonts w:cs="新細明體" w:hint="eastAsia"/>
          <w:kern w:val="0"/>
        </w:rPr>
        <w:t xml:space="preserve"> </w:t>
      </w:r>
      <w:r>
        <w:rPr>
          <w:rFonts w:cs="新細明體" w:hint="eastAsia"/>
          <w:kern w:val="0"/>
        </w:rPr>
        <w:t>的看法</w:t>
      </w:r>
      <w:r>
        <w:rPr>
          <w:rFonts w:ascii="新細明體" w:hAnsi="新細明體" w:cs="新細明體" w:hint="eastAsia"/>
          <w:kern w:val="0"/>
        </w:rPr>
        <w:t>？</w:t>
      </w:r>
    </w:p>
    <w:p w:rsidR="006C74F1" w:rsidRPr="0098444B" w:rsidRDefault="006C74F1" w:rsidP="006C74F1">
      <w:pPr>
        <w:ind w:left="527"/>
        <w:rPr>
          <w:rFonts w:cs="新細明體"/>
          <w:kern w:val="0"/>
        </w:rPr>
      </w:pPr>
    </w:p>
    <w:p w:rsidR="006C74F1" w:rsidRDefault="006C74F1" w:rsidP="006C74F1">
      <w:pPr>
        <w:ind w:left="527"/>
        <w:rPr>
          <w:rFonts w:ascii="新細明體" w:hAnsi="新細明體"/>
        </w:rPr>
      </w:pPr>
    </w:p>
    <w:p w:rsidR="0084596F" w:rsidRPr="00E469E8" w:rsidRDefault="0084596F" w:rsidP="0084596F">
      <w:pPr>
        <w:rPr>
          <w:rFonts w:ascii="新細明體" w:hAnsi="新細明體"/>
        </w:rPr>
      </w:pPr>
    </w:p>
    <w:p w:rsidR="0084596F" w:rsidRDefault="0084596F" w:rsidP="006C74F1">
      <w:pPr>
        <w:ind w:left="527"/>
      </w:pPr>
      <w:r>
        <w:rPr>
          <w:rFonts w:hint="eastAsia"/>
        </w:rPr>
        <w:t>3</w:t>
      </w:r>
      <w:r w:rsidR="006C74F1">
        <w:rPr>
          <w:rFonts w:hint="eastAsia"/>
        </w:rPr>
        <w:t>.</w:t>
      </w:r>
      <w:r>
        <w:rPr>
          <w:rFonts w:hint="eastAsia"/>
        </w:rPr>
        <w:t>歷史的價值在於</w:t>
      </w:r>
      <w:r>
        <w:rPr>
          <w:rFonts w:ascii="新細明體" w:hAnsi="新細明體" w:hint="eastAsia"/>
        </w:rPr>
        <w:t>，</w:t>
      </w:r>
      <w:r>
        <w:rPr>
          <w:rFonts w:hint="eastAsia"/>
        </w:rPr>
        <w:t>我們可以從中得到許多經驗</w:t>
      </w:r>
      <w:r w:rsidR="006C74F1" w:rsidRPr="00E469E8">
        <w:rPr>
          <w:rFonts w:hint="eastAsia"/>
        </w:rPr>
        <w:t>。</w:t>
      </w:r>
      <w:r>
        <w:rPr>
          <w:rFonts w:hint="eastAsia"/>
        </w:rPr>
        <w:t>錯誤的事情我們不應該讓它重演</w:t>
      </w:r>
      <w:r>
        <w:rPr>
          <w:rFonts w:ascii="新細明體" w:hAnsi="新細明體" w:hint="eastAsia"/>
        </w:rPr>
        <w:t>。</w:t>
      </w:r>
      <w:r>
        <w:rPr>
          <w:rFonts w:hint="eastAsia"/>
        </w:rPr>
        <w:t>湯</w:t>
      </w:r>
    </w:p>
    <w:p w:rsidR="008D07D6" w:rsidRDefault="0084596F" w:rsidP="006C74F1">
      <w:pPr>
        <w:ind w:left="527"/>
        <w:rPr>
          <w:rFonts w:ascii="新細明體" w:hAnsi="新細明體"/>
        </w:rPr>
      </w:pPr>
      <w:r>
        <w:rPr>
          <w:rFonts w:hint="eastAsia"/>
        </w:rPr>
        <w:t xml:space="preserve"> </w:t>
      </w:r>
      <w:r>
        <w:rPr>
          <w:rFonts w:hint="eastAsia"/>
        </w:rPr>
        <w:t>德章先生遭受不白之冤令人</w:t>
      </w:r>
      <w:r w:rsidR="008D07D6">
        <w:rPr>
          <w:rFonts w:hint="eastAsia"/>
        </w:rPr>
        <w:t>十分</w:t>
      </w:r>
      <w:r>
        <w:rPr>
          <w:rFonts w:hint="eastAsia"/>
        </w:rPr>
        <w:t>難過與遺憾</w:t>
      </w:r>
      <w:r>
        <w:rPr>
          <w:rFonts w:ascii="新細明體" w:hAnsi="新細明體" w:hint="eastAsia"/>
        </w:rPr>
        <w:t>。</w:t>
      </w:r>
      <w:r>
        <w:rPr>
          <w:rFonts w:hint="eastAsia"/>
        </w:rPr>
        <w:t>在我們</w:t>
      </w:r>
      <w:r w:rsidR="00201BAA">
        <w:rPr>
          <w:rFonts w:hint="eastAsia"/>
        </w:rPr>
        <w:t>日常生活中有沒有類似的狀況</w:t>
      </w:r>
      <w:r w:rsidR="00201BAA">
        <w:rPr>
          <w:rFonts w:ascii="新細明體" w:hAnsi="新細明體" w:hint="eastAsia"/>
        </w:rPr>
        <w:t>，</w:t>
      </w:r>
    </w:p>
    <w:p w:rsidR="006C74F1" w:rsidRPr="00E469E8" w:rsidRDefault="008D07D6" w:rsidP="008D07D6">
      <w:pPr>
        <w:ind w:left="527"/>
      </w:pPr>
      <w:r>
        <w:rPr>
          <w:rFonts w:ascii="新細明體" w:hAnsi="新細明體" w:hint="eastAsia"/>
        </w:rPr>
        <w:t xml:space="preserve"> </w:t>
      </w:r>
      <w:r w:rsidR="00201BAA">
        <w:rPr>
          <w:rFonts w:hint="eastAsia"/>
        </w:rPr>
        <w:t>因為誤解</w:t>
      </w:r>
      <w:r w:rsidR="00201BAA">
        <w:rPr>
          <w:rFonts w:ascii="新細明體" w:hAnsi="新細明體" w:hint="eastAsia"/>
        </w:rPr>
        <w:t>、</w:t>
      </w:r>
      <w:r w:rsidR="00201BAA">
        <w:rPr>
          <w:rFonts w:hint="eastAsia"/>
        </w:rPr>
        <w:t>偏見或其他原因令他人感受到難過的事情呢</w:t>
      </w:r>
      <w:r w:rsidR="00201BAA">
        <w:rPr>
          <w:rFonts w:ascii="新細明體" w:hAnsi="新細明體" w:hint="eastAsia"/>
        </w:rPr>
        <w:t>？</w:t>
      </w:r>
    </w:p>
    <w:p w:rsidR="006C74F1" w:rsidRDefault="006C74F1" w:rsidP="006C74F1">
      <w:pPr>
        <w:ind w:firstLineChars="177" w:firstLine="425"/>
        <w:rPr>
          <w:rFonts w:ascii="新細明體" w:hAnsi="新細明體"/>
        </w:rPr>
      </w:pPr>
    </w:p>
    <w:p w:rsidR="006C74F1" w:rsidRDefault="006C74F1" w:rsidP="006C74F1">
      <w:pPr>
        <w:ind w:firstLineChars="177" w:firstLine="425"/>
        <w:rPr>
          <w:rFonts w:ascii="新細明體" w:hAnsi="新細明體"/>
        </w:rPr>
      </w:pPr>
    </w:p>
    <w:p w:rsidR="00332A80" w:rsidRPr="00973102" w:rsidRDefault="00332A80" w:rsidP="007A78A1">
      <w:pPr>
        <w:pStyle w:val="a5"/>
        <w:ind w:leftChars="0" w:left="0"/>
        <w:rPr>
          <w:sz w:val="32"/>
          <w:szCs w:val="32"/>
        </w:rPr>
      </w:pPr>
    </w:p>
    <w:sectPr w:rsidR="00332A80" w:rsidRPr="00973102" w:rsidSect="00332A8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A2C" w:rsidRDefault="00123A2C" w:rsidP="00BB1766">
      <w:r>
        <w:separator/>
      </w:r>
    </w:p>
  </w:endnote>
  <w:endnote w:type="continuationSeparator" w:id="0">
    <w:p w:rsidR="00123A2C" w:rsidRDefault="00123A2C" w:rsidP="00BB1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楷書">
    <w:altName w:val="Arial Unicode MS"/>
    <w:charset w:val="88"/>
    <w:family w:val="script"/>
    <w:pitch w:val="fixed"/>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A2C" w:rsidRDefault="00123A2C" w:rsidP="00BB1766">
      <w:r>
        <w:separator/>
      </w:r>
    </w:p>
  </w:footnote>
  <w:footnote w:type="continuationSeparator" w:id="0">
    <w:p w:rsidR="00123A2C" w:rsidRDefault="00123A2C" w:rsidP="00BB1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410F6"/>
    <w:multiLevelType w:val="hybridMultilevel"/>
    <w:tmpl w:val="B7BC4B4E"/>
    <w:lvl w:ilvl="0" w:tplc="387C6B8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AC1"/>
    <w:rsid w:val="000325C1"/>
    <w:rsid w:val="000E02C2"/>
    <w:rsid w:val="000F6B1D"/>
    <w:rsid w:val="00123A2C"/>
    <w:rsid w:val="0012790D"/>
    <w:rsid w:val="00132550"/>
    <w:rsid w:val="001429FF"/>
    <w:rsid w:val="00143358"/>
    <w:rsid w:val="00156677"/>
    <w:rsid w:val="001611A7"/>
    <w:rsid w:val="001A192F"/>
    <w:rsid w:val="001C252A"/>
    <w:rsid w:val="001D1959"/>
    <w:rsid w:val="001F0B90"/>
    <w:rsid w:val="00201BAA"/>
    <w:rsid w:val="0023211F"/>
    <w:rsid w:val="00290554"/>
    <w:rsid w:val="00294B9E"/>
    <w:rsid w:val="002E704E"/>
    <w:rsid w:val="003142B1"/>
    <w:rsid w:val="003306F8"/>
    <w:rsid w:val="00332A80"/>
    <w:rsid w:val="00337A62"/>
    <w:rsid w:val="00355652"/>
    <w:rsid w:val="0036613B"/>
    <w:rsid w:val="0038415C"/>
    <w:rsid w:val="003C3AF5"/>
    <w:rsid w:val="0041776D"/>
    <w:rsid w:val="00466CEB"/>
    <w:rsid w:val="00493F6E"/>
    <w:rsid w:val="004D2FFB"/>
    <w:rsid w:val="00525AC1"/>
    <w:rsid w:val="005335B0"/>
    <w:rsid w:val="00565C0F"/>
    <w:rsid w:val="005737A1"/>
    <w:rsid w:val="0059786B"/>
    <w:rsid w:val="005A12C6"/>
    <w:rsid w:val="005A7349"/>
    <w:rsid w:val="005B711E"/>
    <w:rsid w:val="005D6D63"/>
    <w:rsid w:val="005E36DB"/>
    <w:rsid w:val="005F2C0C"/>
    <w:rsid w:val="00606308"/>
    <w:rsid w:val="00632C42"/>
    <w:rsid w:val="00642CE5"/>
    <w:rsid w:val="0066081B"/>
    <w:rsid w:val="00665BE3"/>
    <w:rsid w:val="006A4105"/>
    <w:rsid w:val="006B3925"/>
    <w:rsid w:val="006C74F1"/>
    <w:rsid w:val="00774F0E"/>
    <w:rsid w:val="0077711B"/>
    <w:rsid w:val="007A2C30"/>
    <w:rsid w:val="007A78A1"/>
    <w:rsid w:val="007B5CD7"/>
    <w:rsid w:val="007E68DB"/>
    <w:rsid w:val="00803592"/>
    <w:rsid w:val="0084596F"/>
    <w:rsid w:val="008923EF"/>
    <w:rsid w:val="008D07D6"/>
    <w:rsid w:val="008E1F5B"/>
    <w:rsid w:val="008F6482"/>
    <w:rsid w:val="00913AD1"/>
    <w:rsid w:val="00932CCD"/>
    <w:rsid w:val="00941E61"/>
    <w:rsid w:val="0095356F"/>
    <w:rsid w:val="00970C3A"/>
    <w:rsid w:val="00971862"/>
    <w:rsid w:val="00973102"/>
    <w:rsid w:val="0098444B"/>
    <w:rsid w:val="00984EC0"/>
    <w:rsid w:val="009B53AD"/>
    <w:rsid w:val="009D3EA5"/>
    <w:rsid w:val="00A26502"/>
    <w:rsid w:val="00A35CD4"/>
    <w:rsid w:val="00AE6E62"/>
    <w:rsid w:val="00B63998"/>
    <w:rsid w:val="00BB1766"/>
    <w:rsid w:val="00BC321A"/>
    <w:rsid w:val="00BE45DE"/>
    <w:rsid w:val="00C216C3"/>
    <w:rsid w:val="00C34221"/>
    <w:rsid w:val="00C402BF"/>
    <w:rsid w:val="00D1387D"/>
    <w:rsid w:val="00D22C59"/>
    <w:rsid w:val="00D579E8"/>
    <w:rsid w:val="00D75B3F"/>
    <w:rsid w:val="00D9170D"/>
    <w:rsid w:val="00DD0DEE"/>
    <w:rsid w:val="00E27723"/>
    <w:rsid w:val="00E37A2E"/>
    <w:rsid w:val="00E92651"/>
    <w:rsid w:val="00E979E3"/>
    <w:rsid w:val="00ED26F0"/>
    <w:rsid w:val="00EF1584"/>
    <w:rsid w:val="00EF3FE9"/>
    <w:rsid w:val="00F17B4B"/>
    <w:rsid w:val="00F65301"/>
    <w:rsid w:val="00F735C1"/>
    <w:rsid w:val="00FB65EF"/>
    <w:rsid w:val="00FB78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90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2A8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13AD1"/>
    <w:rPr>
      <w:color w:val="0000FF"/>
      <w:u w:val="single"/>
    </w:rPr>
  </w:style>
  <w:style w:type="paragraph" w:styleId="a5">
    <w:name w:val="List Paragraph"/>
    <w:basedOn w:val="a"/>
    <w:qFormat/>
    <w:rsid w:val="00C34221"/>
    <w:pPr>
      <w:spacing w:line="0" w:lineRule="atLeast"/>
      <w:ind w:leftChars="200" w:left="480"/>
    </w:pPr>
    <w:rPr>
      <w:rFonts w:ascii="標楷體" w:eastAsia="標楷體" w:hAnsi="標楷體"/>
      <w:sz w:val="36"/>
      <w:szCs w:val="28"/>
    </w:rPr>
  </w:style>
  <w:style w:type="paragraph" w:styleId="a6">
    <w:name w:val="Balloon Text"/>
    <w:basedOn w:val="a"/>
    <w:link w:val="a7"/>
    <w:rsid w:val="00EF1584"/>
    <w:rPr>
      <w:rFonts w:ascii="Cambria" w:hAnsi="Cambria"/>
      <w:sz w:val="18"/>
      <w:szCs w:val="18"/>
    </w:rPr>
  </w:style>
  <w:style w:type="character" w:customStyle="1" w:styleId="a7">
    <w:name w:val="註解方塊文字 字元"/>
    <w:link w:val="a6"/>
    <w:rsid w:val="00EF1584"/>
    <w:rPr>
      <w:rFonts w:ascii="Cambria" w:eastAsia="新細明體" w:hAnsi="Cambria" w:cs="Times New Roman"/>
      <w:kern w:val="2"/>
      <w:sz w:val="18"/>
      <w:szCs w:val="18"/>
    </w:rPr>
  </w:style>
  <w:style w:type="paragraph" w:styleId="a8">
    <w:name w:val="header"/>
    <w:basedOn w:val="a"/>
    <w:link w:val="a9"/>
    <w:rsid w:val="00BB1766"/>
    <w:pPr>
      <w:tabs>
        <w:tab w:val="center" w:pos="4153"/>
        <w:tab w:val="right" w:pos="8306"/>
      </w:tabs>
      <w:snapToGrid w:val="0"/>
    </w:pPr>
    <w:rPr>
      <w:sz w:val="20"/>
      <w:szCs w:val="20"/>
    </w:rPr>
  </w:style>
  <w:style w:type="character" w:customStyle="1" w:styleId="a9">
    <w:name w:val="頁首 字元"/>
    <w:link w:val="a8"/>
    <w:rsid w:val="00BB1766"/>
    <w:rPr>
      <w:kern w:val="2"/>
    </w:rPr>
  </w:style>
  <w:style w:type="paragraph" w:styleId="aa">
    <w:name w:val="footer"/>
    <w:basedOn w:val="a"/>
    <w:link w:val="ab"/>
    <w:rsid w:val="00BB1766"/>
    <w:pPr>
      <w:tabs>
        <w:tab w:val="center" w:pos="4153"/>
        <w:tab w:val="right" w:pos="8306"/>
      </w:tabs>
      <w:snapToGrid w:val="0"/>
    </w:pPr>
    <w:rPr>
      <w:sz w:val="20"/>
      <w:szCs w:val="20"/>
    </w:rPr>
  </w:style>
  <w:style w:type="character" w:customStyle="1" w:styleId="ab">
    <w:name w:val="頁尾 字元"/>
    <w:link w:val="aa"/>
    <w:rsid w:val="00BB1766"/>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nwcdo.gov.tw/culture01a.asp?ID=%7B1B957118-BA29-4587-9405-11717CFD2143%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A43D3-77AF-432D-ACD6-137B13FF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1980</Characters>
  <Application>Microsoft Office Word</Application>
  <DocSecurity>0</DocSecurity>
  <Lines>16</Lines>
  <Paragraphs>4</Paragraphs>
  <ScaleCrop>false</ScaleCrop>
  <Company>HOMGER</Company>
  <LinksUpToDate>false</LinksUpToDate>
  <CharactersWithSpaces>2323</CharactersWithSpaces>
  <SharedDoc>false</SharedDoc>
  <HLinks>
    <vt:vector size="30" baseType="variant">
      <vt:variant>
        <vt:i4>786439</vt:i4>
      </vt:variant>
      <vt:variant>
        <vt:i4>0</vt:i4>
      </vt:variant>
      <vt:variant>
        <vt:i4>0</vt:i4>
      </vt:variant>
      <vt:variant>
        <vt:i4>5</vt:i4>
      </vt:variant>
      <vt:variant>
        <vt:lpwstr>http://www.tnwcdo.gov.tw/culture01a.asp?ID=%7B1B957118-BA29-4587-9405-11717CFD2143%7D</vt:lpwstr>
      </vt:variant>
      <vt:variant>
        <vt:lpwstr/>
      </vt:variant>
      <vt:variant>
        <vt:i4>3604574</vt:i4>
      </vt:variant>
      <vt:variant>
        <vt:i4>3</vt:i4>
      </vt:variant>
      <vt:variant>
        <vt:i4>0</vt:i4>
      </vt:variant>
      <vt:variant>
        <vt:i4>5</vt:i4>
      </vt:variant>
      <vt:variant>
        <vt:lpwstr>http://www.books.com.tw/exep/pub_book.php?pubid=chaugen</vt:lpwstr>
      </vt:variant>
      <vt:variant>
        <vt:lpwstr/>
      </vt:variant>
      <vt:variant>
        <vt:i4>3997703</vt:i4>
      </vt:variant>
      <vt:variant>
        <vt:i4>0</vt:i4>
      </vt:variant>
      <vt:variant>
        <vt:i4>0</vt:i4>
      </vt:variant>
      <vt:variant>
        <vt:i4>5</vt:i4>
      </vt:variant>
      <vt:variant>
        <vt:lpwstr>http://search.books.com.tw/exep/prod_search.php?key=%B8%AD%A5%DB%C0%DC&amp;f=author</vt:lpwstr>
      </vt:variant>
      <vt:variant>
        <vt:lpwstr/>
      </vt:variant>
      <vt:variant>
        <vt:i4>4128782</vt:i4>
      </vt:variant>
      <vt:variant>
        <vt:i4>-1</vt:i4>
      </vt:variant>
      <vt:variant>
        <vt:i4>1035</vt:i4>
      </vt:variant>
      <vt:variant>
        <vt:i4>1</vt:i4>
      </vt:variant>
      <vt:variant>
        <vt:lpwstr>http://www.twcenter.org.tw/b01/pic_author/13101/09.jpg</vt:lpwstr>
      </vt:variant>
      <vt:variant>
        <vt:lpwstr/>
      </vt:variant>
      <vt:variant>
        <vt:i4>5636098</vt:i4>
      </vt:variant>
      <vt:variant>
        <vt:i4>-1</vt:i4>
      </vt:variant>
      <vt:variant>
        <vt:i4>1036</vt:i4>
      </vt:variant>
      <vt:variant>
        <vt:i4>1</vt:i4>
      </vt:variant>
      <vt:variant>
        <vt:lpwstr>http://im1.book.com.tw/exep/lib/image.php?image=http://addons.books.com.tw/G/001/9/0010054879.jpg&amp;width=200&amp;height=280&amp;quality=80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人權景點校外教學課程發展方向建議表</dc:title>
  <dc:creator>JAN</dc:creator>
  <cp:lastModifiedBy>AUX2</cp:lastModifiedBy>
  <cp:revision>2</cp:revision>
  <cp:lastPrinted>2015-04-23T08:02:00Z</cp:lastPrinted>
  <dcterms:created xsi:type="dcterms:W3CDTF">2015-04-29T01:00:00Z</dcterms:created>
  <dcterms:modified xsi:type="dcterms:W3CDTF">2015-04-29T01:00:00Z</dcterms:modified>
</cp:coreProperties>
</file>