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rtl w:val="0"/>
        </w:rPr>
        <w:t xml:space="preserve">臺南市113學年度精進國民中小學教師教學專業與課程品質整體推動計畫</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rtl w:val="0"/>
        </w:rPr>
        <w:t xml:space="preserve">國民教育輔導團綜合領域輔導國中組</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rtl w:val="0"/>
        </w:rPr>
        <w:t xml:space="preserve">「數位教學增能工作坊」實施計畫</w:t>
      </w:r>
      <w:r w:rsidDel="00000000" w:rsidR="00000000" w:rsidRPr="00000000">
        <w:rPr>
          <w:rtl w:val="0"/>
        </w:rPr>
      </w:r>
    </w:p>
    <w:p w:rsidR="00000000" w:rsidDel="00000000" w:rsidP="00000000" w:rsidRDefault="00000000" w:rsidRPr="00000000" w14:paraId="00000004">
      <w:pPr>
        <w:widowControl w:val="0"/>
        <w:spacing w:line="240" w:lineRule="auto"/>
        <w:ind w:left="116" w:right="-29" w:firstLine="0"/>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一、依據</w:t>
      </w:r>
    </w:p>
    <w:p w:rsidR="00000000" w:rsidDel="00000000" w:rsidP="00000000" w:rsidRDefault="00000000" w:rsidRPr="00000000" w14:paraId="00000005">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（一）教育部補助直轄市、縣(市)政府精進國民中學及國民小學教師教學專業與課程品質作業要點。</w:t>
      </w:r>
    </w:p>
    <w:p w:rsidR="00000000" w:rsidDel="00000000" w:rsidP="00000000" w:rsidRDefault="00000000" w:rsidRPr="00000000" w14:paraId="00000006">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（二）臺南市113學年度精進國民中小學教師教學專業與課程品質整體推動計畫。</w:t>
      </w:r>
    </w:p>
    <w:p w:rsidR="00000000" w:rsidDel="00000000" w:rsidP="00000000" w:rsidRDefault="00000000" w:rsidRPr="00000000" w14:paraId="00000007">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（三）臺南市113學年度國民教育輔導團整體團務計畫。</w:t>
      </w:r>
    </w:p>
    <w:p w:rsidR="00000000" w:rsidDel="00000000" w:rsidP="00000000" w:rsidRDefault="00000000" w:rsidRPr="00000000" w14:paraId="00000008">
      <w:pPr>
        <w:spacing w:line="240" w:lineRule="auto"/>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DFKai-SB" w:cs="DFKai-SB" w:eastAsia="DFKai-SB" w:hAnsi="DFKai-SB"/>
          <w:b w:val="1"/>
          <w:sz w:val="24"/>
          <w:szCs w:val="24"/>
          <w:rtl w:val="0"/>
        </w:rPr>
        <w:t xml:space="preserve">二、目的</w:t>
      </w:r>
      <w:r w:rsidDel="00000000" w:rsidR="00000000" w:rsidRPr="00000000">
        <w:rPr>
          <w:rFonts w:ascii="Gungsuh" w:cs="Gungsuh" w:eastAsia="Gungsuh" w:hAnsi="Gungsuh"/>
          <w:sz w:val="24"/>
          <w:szCs w:val="24"/>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9"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(一)教師能覺察及突破在課程設計上引起學習動機的盲點，並能進一步內化提升至有效教學。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9"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(二)教師能覺察數位教學活動在綜合活動學習領域課程實施的困境與局限，並反思體驗活動帶領設計的原理，提升活動設計的深度與精緻度。</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9"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(三)教師能透過系統化的策略，維持學科本質下，以TPACK進行相關的轉變呈現，可透過課程觀摩與討論、教學反思與回饋，提升對於TPACK教學的理解。</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29"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(四)教師願持續精進並深化學科內涵，增進TPACK教學課程規劃的專業能力，及協助學生在生活中實踐的行動力。</w:t>
      </w:r>
    </w:p>
    <w:p w:rsidR="00000000" w:rsidDel="00000000" w:rsidP="00000000" w:rsidRDefault="00000000" w:rsidRPr="00000000" w14:paraId="0000000E">
      <w:pPr>
        <w:widowControl w:val="0"/>
        <w:spacing w:line="240" w:lineRule="auto"/>
        <w:ind w:left="116" w:right="-29" w:firstLine="0"/>
        <w:rPr>
          <w:rFonts w:ascii="DFKai-SB" w:cs="DFKai-SB" w:eastAsia="DFKai-SB" w:hAnsi="DFKai-SB"/>
          <w:b w:val="1"/>
          <w:sz w:val="24"/>
          <w:szCs w:val="24"/>
        </w:rPr>
      </w:pPr>
      <w:r w:rsidDel="00000000" w:rsidR="00000000" w:rsidRPr="00000000">
        <w:rPr>
          <w:rtl w:val="0"/>
        </w:rPr>
      </w:r>
    </w:p>
    <w:p w:rsidR="00000000" w:rsidDel="00000000" w:rsidP="00000000" w:rsidRDefault="00000000" w:rsidRPr="00000000" w14:paraId="0000000F">
      <w:pPr>
        <w:widowControl w:val="0"/>
        <w:spacing w:line="240" w:lineRule="auto"/>
        <w:ind w:left="116" w:right="-29" w:firstLine="0"/>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三、辦理日期及地點  </w:t>
      </w:r>
    </w:p>
    <w:p w:rsidR="00000000" w:rsidDel="00000000" w:rsidP="00000000" w:rsidRDefault="00000000" w:rsidRPr="00000000" w14:paraId="00000010">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（一）主題：數位教學-隨侯消司的台南古城之謎 </w:t>
      </w:r>
    </w:p>
    <w:p w:rsidR="00000000" w:rsidDel="00000000" w:rsidP="00000000" w:rsidRDefault="00000000" w:rsidRPr="00000000" w14:paraId="00000011">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（二）日期：113年 11月21日 上午 9:00-12:00 </w:t>
      </w:r>
    </w:p>
    <w:p w:rsidR="00000000" w:rsidDel="00000000" w:rsidP="00000000" w:rsidRDefault="00000000" w:rsidRPr="00000000" w14:paraId="00000012">
      <w:pPr>
        <w:widowControl w:val="0"/>
        <w:spacing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（三）地點：吳園</w:t>
      </w:r>
    </w:p>
    <w:p w:rsidR="00000000" w:rsidDel="00000000" w:rsidP="00000000" w:rsidRDefault="00000000" w:rsidRPr="00000000" w14:paraId="00000013">
      <w:pPr>
        <w:widowControl w:val="0"/>
        <w:spacing w:line="240" w:lineRule="auto"/>
        <w:ind w:left="350" w:right="-29" w:firstLine="0"/>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104" w:right="-29" w:firstLine="0"/>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四、參加對象與人數  </w:t>
      </w:r>
    </w:p>
    <w:p w:rsidR="00000000" w:rsidDel="00000000" w:rsidP="00000000" w:rsidRDefault="00000000" w:rsidRPr="00000000" w14:paraId="00000015">
      <w:pPr>
        <w:widowControl w:val="0"/>
        <w:spacing w:line="240" w:lineRule="auto"/>
        <w:ind w:left="210" w:right="-29" w:firstLine="0"/>
        <w:rPr>
          <w:rFonts w:ascii="DFKai-SB" w:cs="DFKai-SB" w:eastAsia="DFKai-SB" w:hAnsi="DFKai-SB"/>
          <w:b w:val="1"/>
          <w:sz w:val="24"/>
          <w:szCs w:val="24"/>
        </w:rPr>
      </w:pPr>
      <w:r w:rsidDel="00000000" w:rsidR="00000000" w:rsidRPr="00000000">
        <w:rPr>
          <w:rFonts w:ascii="DFKai-SB" w:cs="DFKai-SB" w:eastAsia="DFKai-SB" w:hAnsi="DFKai-SB"/>
          <w:sz w:val="24"/>
          <w:szCs w:val="24"/>
          <w:rtl w:val="0"/>
        </w:rPr>
        <w:t xml:space="preserve">（一）人數：50 人</w:t>
      </w:r>
      <w:r w:rsidDel="00000000" w:rsidR="00000000" w:rsidRPr="00000000">
        <w:rPr>
          <w:rtl w:val="0"/>
        </w:rPr>
      </w:r>
    </w:p>
    <w:p w:rsidR="00000000" w:rsidDel="00000000" w:rsidP="00000000" w:rsidRDefault="00000000" w:rsidRPr="00000000" w14:paraId="00000016">
      <w:pPr>
        <w:widowControl w:val="0"/>
        <w:spacing w:line="240" w:lineRule="auto"/>
        <w:ind w:left="210" w:right="-29" w:firstLine="0"/>
        <w:rPr>
          <w:rFonts w:ascii="Times New Roman" w:cs="Times New Roman" w:eastAsia="Times New Roman" w:hAnsi="Times New Roman"/>
          <w:sz w:val="24"/>
          <w:szCs w:val="24"/>
        </w:rPr>
      </w:pPr>
      <w:r w:rsidDel="00000000" w:rsidR="00000000" w:rsidRPr="00000000">
        <w:rPr>
          <w:rFonts w:ascii="DFKai-SB" w:cs="DFKai-SB" w:eastAsia="DFKai-SB" w:hAnsi="DFKai-SB"/>
          <w:sz w:val="24"/>
          <w:szCs w:val="24"/>
          <w:rtl w:val="0"/>
        </w:rPr>
        <w:t xml:space="preserve">（二）對象:1.市現任綜合活動課教師，請各校推派1~2名參加。一間學校最多可到3位，以方便進行該校課程的共備討論實施，人數額滿為止。</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9" w:firstLine="636"/>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2.本市綜合活動領域國教輔導團團員。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9" w:firstLine="636"/>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3.對本研習有興趣之教師。</w:t>
      </w:r>
    </w:p>
    <w:p w:rsidR="00000000" w:rsidDel="00000000" w:rsidP="00000000" w:rsidRDefault="00000000" w:rsidRPr="00000000" w14:paraId="00000019">
      <w:pPr>
        <w:widowControl w:val="0"/>
        <w:spacing w:line="240" w:lineRule="auto"/>
        <w:ind w:left="851" w:right="-29" w:firstLine="636"/>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1A">
      <w:pPr>
        <w:widowControl w:val="0"/>
        <w:spacing w:line="240" w:lineRule="auto"/>
        <w:ind w:left="112" w:right="-29" w:firstLine="0"/>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五、研習內容  </w:t>
      </w:r>
    </w:p>
    <w:p w:rsidR="00000000" w:rsidDel="00000000" w:rsidP="00000000" w:rsidRDefault="00000000" w:rsidRPr="00000000" w14:paraId="0000001B">
      <w:pPr>
        <w:widowControl w:val="0"/>
        <w:spacing w:line="240" w:lineRule="auto"/>
        <w:ind w:left="210"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（一）課程規劃： </w:t>
      </w:r>
    </w:p>
    <w:tbl>
      <w:tblPr>
        <w:tblStyle w:val="Table1"/>
        <w:tblW w:w="8955.0" w:type="dxa"/>
        <w:jc w:val="left"/>
        <w:tblInd w:w="9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4"/>
        <w:gridCol w:w="4224"/>
        <w:gridCol w:w="2887"/>
        <w:tblGridChange w:id="0">
          <w:tblGrid>
            <w:gridCol w:w="1844"/>
            <w:gridCol w:w="4224"/>
            <w:gridCol w:w="2887"/>
          </w:tblGrid>
        </w:tblGridChange>
      </w:tblGrid>
      <w:tr>
        <w:trPr>
          <w:cantSplit w:val="0"/>
          <w:trHeight w:val="2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ind w:left="553"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時間 </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活動內容 </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ind w:left="758"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負責人</w:t>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8:30-9:00</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報到 </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ind w:left="488" w:right="-29"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輔導團團隊</w:t>
            </w:r>
          </w:p>
        </w:tc>
      </w:tr>
      <w:tr>
        <w:trPr>
          <w:cantSplit w:val="0"/>
          <w:trHeight w:val="2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9:00-9:10</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長官致詞/行政宣導</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ind w:left="488" w:right="-29"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領召校長/輔導團隊</w:t>
            </w:r>
          </w:p>
        </w:tc>
      </w:tr>
      <w:tr>
        <w:trPr>
          <w:cantSplit w:val="0"/>
          <w:trHeight w:val="63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9:10-11：40</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left="284" w:right="-29"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隨侯消司的台南古城之謎</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ind w:left="284" w:right="-29"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杜宜璇老師</w:t>
            </w:r>
          </w:p>
        </w:tc>
      </w:tr>
      <w:tr>
        <w:trPr>
          <w:cantSplit w:val="0"/>
          <w:trHeight w:val="23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11:40-12:00</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分享回饋及座談 </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校長、講師</w:t>
            </w:r>
          </w:p>
        </w:tc>
      </w:tr>
      <w:tr>
        <w:trPr>
          <w:cantSplit w:val="0"/>
          <w:trHeight w:val="3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12：00</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賦歸（簽退&amp;回饋）</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right="-29"/>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輔導團團隊</w:t>
            </w:r>
          </w:p>
        </w:tc>
      </w:tr>
    </w:tbl>
    <w:p w:rsidR="00000000" w:rsidDel="00000000" w:rsidP="00000000" w:rsidRDefault="00000000" w:rsidRPr="00000000" w14:paraId="0000002E">
      <w:pPr>
        <w:spacing w:after="120" w:before="120" w:line="240" w:lineRule="auto"/>
        <w:ind w:left="284" w:right="-29"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（二）報名方式：請上臺南市教育網路中心學習護照報名。研習代碼：296358</w:t>
      </w:r>
    </w:p>
    <w:p w:rsidR="00000000" w:rsidDel="00000000" w:rsidP="00000000" w:rsidRDefault="00000000" w:rsidRPr="00000000" w14:paraId="0000002F">
      <w:pPr>
        <w:spacing w:line="240" w:lineRule="auto"/>
        <w:ind w:left="284" w:right="-29" w:firstLine="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網址：</w:t>
      </w:r>
      <w:hyperlink r:id="rId6">
        <w:r w:rsidDel="00000000" w:rsidR="00000000" w:rsidRPr="00000000">
          <w:rPr>
            <w:rFonts w:ascii="DFKai-SB" w:cs="DFKai-SB" w:eastAsia="DFKai-SB" w:hAnsi="DFKai-SB"/>
            <w:color w:val="1155cc"/>
            <w:sz w:val="24"/>
            <w:szCs w:val="24"/>
            <w:u w:val="single"/>
            <w:rtl w:val="0"/>
          </w:rPr>
          <w:t xml:space="preserve">e-learning.tn.edu.tw/User/CourseDetail.aspx?OCID=296358</w:t>
        </w:r>
      </w:hyperlink>
      <w:r w:rsidDel="00000000" w:rsidR="00000000" w:rsidRPr="00000000">
        <w:rPr>
          <w:rtl w:val="0"/>
        </w:rPr>
      </w:r>
    </w:p>
    <w:p w:rsidR="00000000" w:rsidDel="00000000" w:rsidP="00000000" w:rsidRDefault="00000000" w:rsidRPr="00000000" w14:paraId="00000030">
      <w:pPr>
        <w:spacing w:line="240" w:lineRule="auto"/>
        <w:ind w:left="284" w:right="-29" w:firstLine="72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 </w:t>
      </w:r>
    </w:p>
    <w:p w:rsidR="00000000" w:rsidDel="00000000" w:rsidP="00000000" w:rsidRDefault="00000000" w:rsidRPr="00000000" w14:paraId="00000031">
      <w:pPr>
        <w:widowControl w:val="0"/>
        <w:spacing w:after="120" w:before="120" w:line="240" w:lineRule="auto"/>
        <w:ind w:left="830" w:right="-29" w:hanging="564"/>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（三） 研習時數：3 小時。</w:t>
      </w:r>
    </w:p>
    <w:p w:rsidR="00000000" w:rsidDel="00000000" w:rsidP="00000000" w:rsidRDefault="00000000" w:rsidRPr="00000000" w14:paraId="00000032">
      <w:pPr>
        <w:widowControl w:val="0"/>
        <w:spacing w:line="240" w:lineRule="auto"/>
        <w:ind w:left="830" w:right="-29" w:hanging="564"/>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141" w:right="-29" w:firstLine="0"/>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六、請核予參與人員公（差）假登記。  </w:t>
      </w:r>
    </w:p>
    <w:p w:rsidR="00000000" w:rsidDel="00000000" w:rsidP="00000000" w:rsidRDefault="00000000" w:rsidRPr="00000000" w14:paraId="00000034">
      <w:pPr>
        <w:widowControl w:val="0"/>
        <w:spacing w:line="240" w:lineRule="auto"/>
        <w:ind w:left="141" w:right="-29" w:firstLine="0"/>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七、經費來源與概算：</w:t>
      </w:r>
      <w:r w:rsidDel="00000000" w:rsidR="00000000" w:rsidRPr="00000000">
        <w:rPr>
          <w:rFonts w:ascii="DFKai-SB" w:cs="DFKai-SB" w:eastAsia="DFKai-SB" w:hAnsi="DFKai-SB"/>
          <w:sz w:val="24"/>
          <w:szCs w:val="24"/>
          <w:rtl w:val="0"/>
        </w:rPr>
        <w:t xml:space="preserve">本市綜合活動學習領域輔導小組 113學年度工作計畫經費支付。</w:t>
      </w:r>
    </w:p>
    <w:p w:rsidR="00000000" w:rsidDel="00000000" w:rsidP="00000000" w:rsidRDefault="00000000" w:rsidRPr="00000000" w14:paraId="00000035">
      <w:pPr>
        <w:widowControl w:val="0"/>
        <w:spacing w:line="240" w:lineRule="auto"/>
        <w:ind w:left="141" w:right="-29" w:firstLine="0"/>
        <w:rPr>
          <w:rFonts w:ascii="DFKai-SB" w:cs="DFKai-SB" w:eastAsia="DFKai-SB" w:hAnsi="DFKai-SB"/>
          <w:sz w:val="24"/>
          <w:szCs w:val="24"/>
        </w:rPr>
      </w:pPr>
      <w:r w:rsidDel="00000000" w:rsidR="00000000" w:rsidRPr="00000000">
        <w:rPr>
          <w:rFonts w:ascii="DFKai-SB" w:cs="DFKai-SB" w:eastAsia="DFKai-SB" w:hAnsi="DFKai-SB"/>
          <w:b w:val="1"/>
          <w:sz w:val="24"/>
          <w:szCs w:val="24"/>
          <w:rtl w:val="0"/>
        </w:rPr>
        <w:t xml:space="preserve">八、本案聯絡人：</w:t>
      </w:r>
      <w:r w:rsidDel="00000000" w:rsidR="00000000" w:rsidRPr="00000000">
        <w:rPr>
          <w:rFonts w:ascii="DFKai-SB" w:cs="DFKai-SB" w:eastAsia="DFKai-SB" w:hAnsi="DFKai-SB"/>
          <w:sz w:val="24"/>
          <w:szCs w:val="24"/>
          <w:rtl w:val="0"/>
        </w:rPr>
        <w:t xml:space="preserve">崇明國中 林清月老師 0975655685/2907261-721</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learning.tn.edu.tw/User/CourseDetail.aspx?OCID=2963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