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148A8" w14:textId="77777777" w:rsidR="000E747F" w:rsidRDefault="000E747F">
      <w:pPr>
        <w:pageBreakBefore/>
        <w:jc w:val="both"/>
        <w:rPr>
          <w:rFonts w:ascii="Times New Roman" w:eastAsia="標楷體" w:hAnsi="Times New Roman"/>
        </w:rPr>
      </w:pPr>
    </w:p>
    <w:p w14:paraId="2F7FAC1B" w14:textId="2E475570" w:rsidR="000E747F" w:rsidRDefault="005B2711" w:rsidP="009961B3">
      <w:pPr>
        <w:spacing w:after="120" w:line="496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【附表</w:t>
      </w:r>
      <w:r>
        <w:rPr>
          <w:rFonts w:ascii="Times New Roman" w:eastAsia="標楷體" w:hAnsi="Times New Roman"/>
          <w:b/>
          <w:sz w:val="28"/>
          <w:szCs w:val="28"/>
        </w:rPr>
        <w:t>3</w:t>
      </w:r>
      <w:r>
        <w:rPr>
          <w:rFonts w:ascii="Times New Roman" w:eastAsia="標楷體" w:hAnsi="Times New Roman"/>
          <w:b/>
          <w:sz w:val="28"/>
          <w:szCs w:val="28"/>
        </w:rPr>
        <w:t>】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14:paraId="4FFA60F9" w14:textId="77777777" w:rsidR="000E747F" w:rsidRDefault="005B2711">
      <w:pPr>
        <w:widowControl/>
        <w:spacing w:after="120" w:line="496" w:lineRule="auto"/>
        <w:jc w:val="both"/>
      </w:pPr>
      <w:r>
        <w:rPr>
          <w:rFonts w:ascii="Times New Roman" w:eastAsia="標楷體" w:hAnsi="Times New Roman"/>
          <w:b/>
          <w:sz w:val="40"/>
          <w:szCs w:val="40"/>
        </w:rPr>
        <w:t>教案簡介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9"/>
        <w:gridCol w:w="7469"/>
      </w:tblGrid>
      <w:tr w:rsidR="000E747F" w14:paraId="287E0205" w14:textId="77777777">
        <w:trPr>
          <w:trHeight w:val="55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671024" w14:textId="77777777" w:rsidR="000E747F" w:rsidRPr="00413E78" w:rsidRDefault="005B2711">
            <w:pPr>
              <w:ind w:left="-29" w:right="-84"/>
              <w:jc w:val="both"/>
            </w:pPr>
            <w:r w:rsidRPr="00413E78"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30D32" w14:textId="6BDC3945" w:rsidR="000E747F" w:rsidRPr="00413E78" w:rsidRDefault="00413E78">
            <w:pPr>
              <w:spacing w:line="396" w:lineRule="auto"/>
              <w:ind w:left="-60" w:right="-132"/>
              <w:jc w:val="both"/>
            </w:pPr>
            <w:r w:rsidRPr="00413E78">
              <w:rPr>
                <w:rFonts w:ascii="Times New Roman" w:eastAsia="標楷體" w:hAnsi="Times New Roman" w:hint="eastAsia"/>
                <w:b/>
              </w:rPr>
              <w:t>10</w:t>
            </w:r>
          </w:p>
        </w:tc>
      </w:tr>
      <w:tr w:rsidR="000E747F" w14:paraId="1A20B012" w14:textId="77777777">
        <w:trPr>
          <w:trHeight w:val="77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203EE7" w14:textId="77777777" w:rsidR="000E747F" w:rsidRDefault="005B2711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9E987" w14:textId="21E94BC6" w:rsidR="000E747F" w:rsidRDefault="002F004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 w:hint="eastAsia"/>
              </w:rPr>
              <w:t>月經，我有話要說</w:t>
            </w:r>
          </w:p>
        </w:tc>
      </w:tr>
      <w:tr w:rsidR="000E747F" w14:paraId="5F385CC1" w14:textId="77777777">
        <w:trPr>
          <w:trHeight w:val="962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0F55B6" w14:textId="77777777" w:rsidR="000E747F" w:rsidRDefault="005B2711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5829A5" w14:textId="42C68F21" w:rsidR="000E747F" w:rsidRDefault="00791C58">
            <w:pPr>
              <w:widowControl/>
              <w:jc w:val="both"/>
            </w:pPr>
            <w:r>
              <w:rPr>
                <w:rFonts w:ascii="標楷體" w:eastAsia="標楷體" w:hAnsi="標楷體" w:hint="eastAsia"/>
              </w:rPr>
              <w:t>■</w:t>
            </w:r>
            <w:r w:rsidR="005B2711">
              <w:rPr>
                <w:rFonts w:ascii="Times New Roman" w:eastAsia="標楷體" w:hAnsi="Times New Roman"/>
              </w:rPr>
              <w:t>月經教學</w:t>
            </w:r>
            <w:r w:rsidR="005B2711">
              <w:rPr>
                <w:rFonts w:ascii="Times New Roman" w:eastAsia="標楷體" w:hAnsi="Times New Roman"/>
                <w:b/>
              </w:rPr>
              <w:t>主題式</w:t>
            </w:r>
            <w:r w:rsidR="005B2711">
              <w:rPr>
                <w:rFonts w:ascii="Times New Roman" w:eastAsia="標楷體" w:hAnsi="Times New Roman"/>
              </w:rPr>
              <w:t>課程</w:t>
            </w:r>
          </w:p>
          <w:p w14:paraId="0742629B" w14:textId="77777777" w:rsidR="000E747F" w:rsidRDefault="005B2711">
            <w:pPr>
              <w:widowControl/>
              <w:jc w:val="both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月經教學</w:t>
            </w:r>
            <w:r>
              <w:rPr>
                <w:rFonts w:ascii="Times New Roman" w:eastAsia="標楷體" w:hAnsi="Times New Roman"/>
                <w:b/>
              </w:rPr>
              <w:t>融入式</w:t>
            </w:r>
            <w:r>
              <w:rPr>
                <w:rFonts w:ascii="Times New Roman" w:eastAsia="標楷體" w:hAnsi="Times New Roman"/>
              </w:rPr>
              <w:t>課程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融入領域：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</w:t>
            </w:r>
          </w:p>
          <w:p w14:paraId="18CD889C" w14:textId="77777777" w:rsidR="000E747F" w:rsidRDefault="005B2711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1.</w:t>
            </w:r>
            <w:r>
              <w:rPr>
                <w:rFonts w:ascii="Times New Roman" w:eastAsia="標楷體" w:hAnsi="Times New Roman"/>
                <w:b/>
              </w:rPr>
              <w:t>課程教案設計</w:t>
            </w: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</w:rPr>
              <w:t>不超過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節課</w:t>
            </w:r>
            <w:r>
              <w:rPr>
                <w:rFonts w:ascii="Times New Roman" w:eastAsia="標楷體" w:hAnsi="Times New Roman"/>
                <w:b/>
              </w:rPr>
              <w:t>)</w:t>
            </w:r>
            <w:r>
              <w:rPr>
                <w:rFonts w:ascii="Times New Roman" w:eastAsia="標楷體" w:hAnsi="Times New Roman"/>
                <w:b/>
              </w:rPr>
              <w:t>為限。</w:t>
            </w:r>
          </w:p>
          <w:p w14:paraId="1FFE9A45" w14:textId="77777777" w:rsidR="000E747F" w:rsidRDefault="005B2711">
            <w:pPr>
              <w:widowControl/>
              <w:ind w:left="240" w:hanging="240"/>
              <w:jc w:val="both"/>
            </w:pPr>
            <w:r>
              <w:rPr>
                <w:rFonts w:ascii="Times New Roman" w:eastAsia="標楷體" w:hAnsi="Times New Roman"/>
                <w:b/>
              </w:rPr>
              <w:t>2.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其中若有援用他人研發或公布之現成教學素材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(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如；影片、</w:t>
            </w:r>
            <w:proofErr w:type="gramStart"/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桌遊</w:t>
            </w:r>
            <w:proofErr w:type="gramEnd"/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、教材包、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…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等等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)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，運用時間不超過所有教學時間的二分之一。</w:t>
            </w:r>
          </w:p>
          <w:p w14:paraId="05711B7E" w14:textId="77777777" w:rsidR="000E747F" w:rsidRDefault="005B2711">
            <w:pPr>
              <w:widowControl/>
              <w:jc w:val="both"/>
            </w:pPr>
            <w:r>
              <w:rPr>
                <w:rFonts w:ascii="Times New Roman" w:eastAsia="標楷體" w:hAnsi="Times New Roman"/>
                <w:b/>
              </w:rPr>
              <w:t>3.</w:t>
            </w:r>
            <w:r>
              <w:rPr>
                <w:rFonts w:ascii="Times New Roman" w:eastAsia="標楷體" w:hAnsi="Times New Roman"/>
                <w:b/>
              </w:rPr>
              <w:t>課程教案須包含評量策略與方法，具體呈現評量基準與</w:t>
            </w:r>
            <w:proofErr w:type="gramStart"/>
            <w:r>
              <w:rPr>
                <w:rFonts w:ascii="Times New Roman" w:eastAsia="標楷體" w:hAnsi="Times New Roman"/>
                <w:b/>
              </w:rPr>
              <w:t>規</w:t>
            </w:r>
            <w:proofErr w:type="gramEnd"/>
            <w:r>
              <w:rPr>
                <w:rFonts w:ascii="Times New Roman" w:eastAsia="標楷體" w:hAnsi="Times New Roman"/>
                <w:b/>
              </w:rPr>
              <w:t>準。</w:t>
            </w:r>
          </w:p>
        </w:tc>
      </w:tr>
      <w:tr w:rsidR="000E747F" w14:paraId="1789DC94" w14:textId="77777777">
        <w:trPr>
          <w:trHeight w:val="839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4B49DC" w14:textId="77777777" w:rsidR="000E747F" w:rsidRDefault="005B2711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5D260F" w14:textId="3C8772D9" w:rsidR="000E747F" w:rsidRDefault="00791C58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0E747F" w14:paraId="7B0E0CE3" w14:textId="77777777">
        <w:trPr>
          <w:trHeight w:val="100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DFC60D" w14:textId="77777777" w:rsidR="000E747F" w:rsidRDefault="005B2711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BDA19D" w14:textId="4B59BACB" w:rsidR="000E747F" w:rsidRDefault="005B2711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中年級</w:t>
            </w:r>
            <w:r w:rsidR="00791C58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Times New Roman" w:eastAsia="標楷體" w:hAnsi="Times New Roman"/>
              </w:rPr>
              <w:t>高年級</w:t>
            </w:r>
          </w:p>
          <w:p w14:paraId="4AEDC30D" w14:textId="77777777" w:rsidR="000E747F" w:rsidRDefault="005B2711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國中</w:t>
            </w:r>
          </w:p>
          <w:p w14:paraId="1E609A59" w14:textId="77777777" w:rsidR="000E747F" w:rsidRDefault="005B2711">
            <w:pPr>
              <w:spacing w:line="396" w:lineRule="auto"/>
              <w:jc w:val="both"/>
            </w:pP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如：特殊學校。請說明：</w:t>
            </w:r>
            <w:r>
              <w:rPr>
                <w:rFonts w:ascii="Times New Roman" w:eastAsia="標楷體" w:hAnsi="Times New Roman"/>
              </w:rPr>
              <w:t>_______________)</w:t>
            </w:r>
          </w:p>
        </w:tc>
      </w:tr>
      <w:tr w:rsidR="000E747F" w14:paraId="67DE649F" w14:textId="7777777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116862" w14:textId="77777777" w:rsidR="000E747F" w:rsidRDefault="005B2711">
            <w:pPr>
              <w:jc w:val="both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摘要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（以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300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字簡要說明教學內容）</w:t>
            </w:r>
          </w:p>
        </w:tc>
      </w:tr>
      <w:tr w:rsidR="000E747F" w14:paraId="443BCF9B" w14:textId="77777777">
        <w:trPr>
          <w:trHeight w:val="5210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1F8422" w14:textId="77777777" w:rsidR="00791C58" w:rsidRDefault="00791C58" w:rsidP="00791C58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高年級的學生即將進入青春期，無論男女都對第二性徵產生興趣，透過課程的澄清，理解</w:t>
            </w:r>
          </w:p>
          <w:p w14:paraId="59C70C9D" w14:textId="4B816B13" w:rsidR="000E747F" w:rsidRDefault="00791C58" w:rsidP="00791C58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月經的形成以及意義，也讓男女生都理解此時所需的保健方式，提供正確的態度面對突如其來月經</w:t>
            </w:r>
            <w:proofErr w:type="gramStart"/>
            <w:r>
              <w:rPr>
                <w:rFonts w:ascii="Times New Roman" w:eastAsia="標楷體" w:hAnsi="Times New Roman" w:hint="eastAsia"/>
              </w:rPr>
              <w:t>來潮時</w:t>
            </w:r>
            <w:proofErr w:type="gramEnd"/>
            <w:r>
              <w:rPr>
                <w:rFonts w:ascii="Times New Roman" w:eastAsia="標楷體" w:hAnsi="Times New Roman" w:hint="eastAsia"/>
              </w:rPr>
              <w:t>，不需要大驚小怪，或是來圍觀，如何有風度地互相提醒、包容。</w:t>
            </w:r>
          </w:p>
        </w:tc>
      </w:tr>
    </w:tbl>
    <w:p w14:paraId="4E0F422A" w14:textId="77777777" w:rsidR="00D607DE" w:rsidRDefault="00D607DE" w:rsidP="00D607DE">
      <w:pPr>
        <w:pStyle w:val="Standard"/>
        <w:widowControl/>
        <w:spacing w:after="120" w:line="494" w:lineRule="auto"/>
        <w:jc w:val="both"/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lastRenderedPageBreak/>
        <w:t>成果報告（主題式課程）</w:t>
      </w:r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5"/>
        <w:gridCol w:w="1341"/>
        <w:gridCol w:w="3058"/>
        <w:gridCol w:w="1151"/>
        <w:gridCol w:w="603"/>
        <w:gridCol w:w="939"/>
        <w:gridCol w:w="2239"/>
      </w:tblGrid>
      <w:tr w:rsidR="00D607DE" w14:paraId="4A710045" w14:textId="77777777" w:rsidTr="00884005">
        <w:trPr>
          <w:trHeight w:val="553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235E" w14:textId="77777777" w:rsidR="00D607DE" w:rsidRPr="00DC5180" w:rsidRDefault="00D607DE" w:rsidP="00884005">
            <w:pPr>
              <w:pStyle w:val="Standard"/>
              <w:ind w:left="-29" w:right="-84"/>
              <w:jc w:val="both"/>
            </w:pPr>
            <w:r w:rsidRPr="00DC5180"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AC63" w14:textId="77777777" w:rsidR="00D607DE" w:rsidRPr="00DC5180" w:rsidRDefault="00D607DE" w:rsidP="00884005">
            <w:pPr>
              <w:pStyle w:val="Standard"/>
              <w:spacing w:line="396" w:lineRule="auto"/>
              <w:ind w:right="-132"/>
              <w:jc w:val="both"/>
            </w:pPr>
            <w:r w:rsidRPr="00DC5180">
              <w:rPr>
                <w:rFonts w:ascii="Times New Roman" w:eastAsia="標楷體" w:hAnsi="Times New Roman" w:hint="eastAsia"/>
                <w:b/>
              </w:rPr>
              <w:t>10</w:t>
            </w:r>
          </w:p>
        </w:tc>
      </w:tr>
      <w:tr w:rsidR="00D607DE" w14:paraId="7B3400D0" w14:textId="77777777" w:rsidTr="00884005">
        <w:trPr>
          <w:trHeight w:val="777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3AA5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B524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 w:hint="eastAsia"/>
              </w:rPr>
              <w:t>月經，我有話要說</w:t>
            </w:r>
          </w:p>
        </w:tc>
      </w:tr>
      <w:tr w:rsidR="00D607DE" w14:paraId="786B555D" w14:textId="77777777" w:rsidTr="00884005">
        <w:trPr>
          <w:trHeight w:val="642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2A7E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F23A" w14:textId="77777777" w:rsidR="00D607DE" w:rsidRDefault="00D607DE" w:rsidP="00884005">
            <w:pPr>
              <w:pStyle w:val="Standard"/>
              <w:ind w:left="68"/>
              <w:jc w:val="both"/>
            </w:pPr>
            <w:r>
              <w:rPr>
                <w:rFonts w:ascii="Times New Roman" w:eastAsia="標楷體" w:hAnsi="Times New Roman"/>
                <w:b/>
              </w:rPr>
              <w:t>性別平等教育議題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主題式</w:t>
            </w:r>
            <w:r>
              <w:rPr>
                <w:rFonts w:ascii="Times New Roman" w:eastAsia="標楷體" w:hAnsi="Times New Roman"/>
                <w:b/>
              </w:rPr>
              <w:t>課程</w:t>
            </w:r>
          </w:p>
        </w:tc>
      </w:tr>
      <w:tr w:rsidR="00D607DE" w14:paraId="23593286" w14:textId="77777777" w:rsidTr="00884005">
        <w:trPr>
          <w:trHeight w:val="2820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B6C3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實施時段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38EC" w14:textId="77777777" w:rsidR="00D607DE" w:rsidRDefault="00D607DE" w:rsidP="00884005">
            <w:pPr>
              <w:pStyle w:val="Standard"/>
              <w:spacing w:line="396" w:lineRule="auto"/>
              <w:ind w:left="6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校訂課程時間：</w:t>
            </w:r>
          </w:p>
          <w:p w14:paraId="7F2A86A7" w14:textId="77777777" w:rsidR="00D607DE" w:rsidRDefault="00D607DE" w:rsidP="00884005">
            <w:pPr>
              <w:pStyle w:val="Standard"/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1.</w:t>
            </w:r>
            <w:r>
              <w:rPr>
                <w:rFonts w:ascii="Times New Roman" w:eastAsia="標楷體" w:hAnsi="Times New Roman"/>
              </w:rPr>
              <w:t>跨領域統整性主題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專題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議題探究</w:t>
            </w:r>
          </w:p>
          <w:p w14:paraId="1D7CBB77" w14:textId="77777777" w:rsidR="00D607DE" w:rsidRDefault="00D607DE" w:rsidP="00884005">
            <w:pPr>
              <w:pStyle w:val="Standard"/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2.</w:t>
            </w:r>
            <w:r>
              <w:rPr>
                <w:rFonts w:ascii="Times New Roman" w:eastAsia="標楷體" w:hAnsi="Times New Roman"/>
              </w:rPr>
              <w:t>社團活動與技藝課程</w:t>
            </w:r>
          </w:p>
          <w:p w14:paraId="55309560" w14:textId="77777777" w:rsidR="00D607DE" w:rsidRDefault="00D607DE" w:rsidP="00884005">
            <w:pPr>
              <w:pStyle w:val="Standard"/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3.</w:t>
            </w:r>
            <w:r>
              <w:rPr>
                <w:rFonts w:ascii="Times New Roman" w:eastAsia="標楷體" w:hAnsi="Times New Roman"/>
              </w:rPr>
              <w:t>特殊需求領域課程</w:t>
            </w:r>
          </w:p>
          <w:p w14:paraId="43DF7936" w14:textId="77777777" w:rsidR="00D607DE" w:rsidRDefault="00D607DE" w:rsidP="00884005">
            <w:pPr>
              <w:pStyle w:val="Standard"/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4.</w:t>
            </w:r>
            <w:r>
              <w:rPr>
                <w:rFonts w:ascii="Times New Roman" w:eastAsia="標楷體" w:hAnsi="Times New Roman"/>
              </w:rPr>
              <w:t>其他類課程</w:t>
            </w:r>
          </w:p>
          <w:p w14:paraId="6F39F7B0" w14:textId="77777777" w:rsidR="00D607DE" w:rsidRDefault="00D607DE" w:rsidP="00884005">
            <w:pPr>
              <w:pStyle w:val="Standard"/>
              <w:spacing w:line="396" w:lineRule="auto"/>
              <w:ind w:left="68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部定課程</w:t>
            </w:r>
            <w:proofErr w:type="gramEnd"/>
            <w:r>
              <w:rPr>
                <w:rFonts w:ascii="Times New Roman" w:eastAsia="標楷體" w:hAnsi="Times New Roman"/>
              </w:rPr>
              <w:t>時間：</w:t>
            </w:r>
          </w:p>
          <w:p w14:paraId="1DE00A6F" w14:textId="77777777" w:rsidR="00D607DE" w:rsidRDefault="00D607DE" w:rsidP="00884005">
            <w:pPr>
              <w:pStyle w:val="Standard"/>
              <w:spacing w:line="360" w:lineRule="auto"/>
              <w:ind w:left="68"/>
              <w:jc w:val="both"/>
            </w:pPr>
            <w:r>
              <w:rPr>
                <w:rFonts w:ascii="Times New Roman" w:eastAsia="標楷體" w:hAnsi="Times New Roman" w:hint="eastAsia"/>
              </w:rPr>
              <w:t>■</w:t>
            </w:r>
            <w:r>
              <w:rPr>
                <w:rFonts w:ascii="Times New Roman" w:eastAsia="標楷體" w:hAnsi="Times New Roman"/>
              </w:rPr>
              <w:t xml:space="preserve"> 5.</w:t>
            </w:r>
            <w:r>
              <w:rPr>
                <w:rFonts w:ascii="Times New Roman" w:eastAsia="標楷體" w:hAnsi="Times New Roman"/>
              </w:rPr>
              <w:t>跨領域統整課程</w:t>
            </w:r>
          </w:p>
          <w:p w14:paraId="36FD0297" w14:textId="77777777" w:rsidR="00D607DE" w:rsidRDefault="00D607DE" w:rsidP="00884005">
            <w:pPr>
              <w:pStyle w:val="Standard"/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6.</w:t>
            </w:r>
            <w:r>
              <w:rPr>
                <w:rFonts w:ascii="Times New Roman" w:eastAsia="標楷體" w:hAnsi="Times New Roman"/>
              </w:rPr>
              <w:t>其他</w:t>
            </w:r>
          </w:p>
        </w:tc>
      </w:tr>
      <w:tr w:rsidR="00D607DE" w14:paraId="690AE181" w14:textId="77777777" w:rsidTr="00884005">
        <w:trPr>
          <w:trHeight w:val="538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0616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57CE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 xml:space="preserve">         1</w:t>
            </w:r>
            <w:r>
              <w:rPr>
                <w:rFonts w:ascii="Times New Roman" w:eastAsia="標楷體" w:hAnsi="Times New Roman"/>
                <w:b/>
              </w:rPr>
              <w:t>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3D33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學生人數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8C51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 22</w:t>
            </w:r>
            <w:r>
              <w:rPr>
                <w:rFonts w:ascii="Times New Roman" w:eastAsia="標楷體" w:hAnsi="Times New Roman"/>
              </w:rPr>
              <w:t>位</w:t>
            </w:r>
          </w:p>
        </w:tc>
      </w:tr>
      <w:tr w:rsidR="00D607DE" w14:paraId="433695CE" w14:textId="77777777" w:rsidTr="00884005">
        <w:trPr>
          <w:trHeight w:val="1004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0926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D73D" w14:textId="77777777" w:rsidR="00D607DE" w:rsidRDefault="00D607DE" w:rsidP="00884005">
            <w:pPr>
              <w:pStyle w:val="Standard"/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中年級</w:t>
            </w:r>
            <w:r>
              <w:rPr>
                <w:rFonts w:ascii="Times New Roman" w:eastAsia="標楷體" w:hAnsi="Times New Roman" w:hint="eastAsia"/>
              </w:rPr>
              <w:t>■</w:t>
            </w:r>
            <w:r>
              <w:rPr>
                <w:rFonts w:ascii="Times New Roman" w:eastAsia="標楷體" w:hAnsi="Times New Roman"/>
              </w:rPr>
              <w:t>高年級</w:t>
            </w:r>
          </w:p>
          <w:p w14:paraId="0AF7103C" w14:textId="77777777" w:rsidR="00D607DE" w:rsidRDefault="00D607DE" w:rsidP="00884005">
            <w:pPr>
              <w:pStyle w:val="Standard"/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國中</w:t>
            </w:r>
          </w:p>
        </w:tc>
      </w:tr>
      <w:tr w:rsidR="00D607DE" w14:paraId="179C4987" w14:textId="77777777" w:rsidTr="00884005">
        <w:trPr>
          <w:trHeight w:val="1004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C8AB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學生先備學習</w:t>
            </w:r>
            <w:r>
              <w:rPr>
                <w:rFonts w:ascii="Times New Roman" w:eastAsia="標楷體" w:hAnsi="Times New Roman"/>
                <w:b/>
              </w:rPr>
              <w:br/>
            </w:r>
            <w:r>
              <w:rPr>
                <w:rFonts w:ascii="Times New Roman" w:eastAsia="標楷體" w:hAnsi="Times New Roman"/>
                <w:b/>
              </w:rPr>
              <w:t>條件要求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10E1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理解男女生雙方的生理構造。</w:t>
            </w:r>
          </w:p>
        </w:tc>
      </w:tr>
      <w:tr w:rsidR="00D607DE" w14:paraId="2F29160E" w14:textId="77777777" w:rsidTr="00884005">
        <w:trPr>
          <w:trHeight w:val="1132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85F3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設計理念</w:t>
            </w:r>
          </w:p>
          <w:p w14:paraId="3EC8A72D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(100-200</w:t>
            </w:r>
            <w:r>
              <w:rPr>
                <w:rFonts w:ascii="Times New Roman" w:eastAsia="標楷體" w:hAnsi="Times New Roman"/>
                <w:b/>
              </w:rPr>
              <w:t>字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3267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高年級的學生即將進入青春期，無論男女都對第二性徵產生興趣，透過課程的澄清，理解</w:t>
            </w:r>
          </w:p>
          <w:p w14:paraId="5F147714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月經的形成以及意義，也讓男女生都理解此時所需的保健方式，提供正確的態度面對突如其來月經</w:t>
            </w:r>
            <w:proofErr w:type="gramStart"/>
            <w:r>
              <w:rPr>
                <w:rFonts w:ascii="Times New Roman" w:eastAsia="標楷體" w:hAnsi="Times New Roman" w:hint="eastAsia"/>
              </w:rPr>
              <w:t>來潮時</w:t>
            </w:r>
            <w:proofErr w:type="gramEnd"/>
            <w:r>
              <w:rPr>
                <w:rFonts w:ascii="Times New Roman" w:eastAsia="標楷體" w:hAnsi="Times New Roman" w:hint="eastAsia"/>
              </w:rPr>
              <w:t>，不需要大驚小怪，或是來圍觀，如何有風度地互相提醒、包容，</w:t>
            </w:r>
          </w:p>
        </w:tc>
      </w:tr>
      <w:tr w:rsidR="00D607DE" w14:paraId="6D2A757B" w14:textId="77777777" w:rsidTr="00884005">
        <w:trPr>
          <w:cantSplit/>
          <w:trHeight w:val="567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DE1E" w14:textId="77777777" w:rsidR="00D607DE" w:rsidRDefault="00D607DE" w:rsidP="00884005">
            <w:pPr>
              <w:pStyle w:val="Standard"/>
              <w:ind w:left="-120" w:right="-12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性別平等教育議題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9063A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核心素養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DD67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健體</w:t>
            </w:r>
            <w:proofErr w:type="gramEnd"/>
            <w:r>
              <w:rPr>
                <w:rFonts w:ascii="標楷體" w:eastAsia="標楷體" w:hAnsi="標楷體" w:cs="標楷體" w:hint="eastAsia"/>
              </w:rPr>
              <w:t>-E-A2 具備探索身體活動與健康生活問題的思考能力，並透過體驗與實踐，處理日常生活中運動與健康的問題。</w:t>
            </w:r>
          </w:p>
        </w:tc>
      </w:tr>
      <w:tr w:rsidR="00D607DE" w14:paraId="52EEEF5F" w14:textId="77777777" w:rsidTr="00884005">
        <w:trPr>
          <w:cantSplit/>
          <w:trHeight w:val="567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F150" w14:textId="77777777" w:rsidR="00D607DE" w:rsidRDefault="00D607DE" w:rsidP="00884005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46D3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學習主題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18C4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●性別平等教育</w:t>
            </w:r>
          </w:p>
          <w:p w14:paraId="65780AD1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性 E1 認識生理性別、性傾向、性別特質與性別認同的多元面貌。</w:t>
            </w:r>
          </w:p>
          <w:p w14:paraId="4943D841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性 E11 培養性別間合宜表達情感的能力。</w:t>
            </w:r>
          </w:p>
          <w:p w14:paraId="4ACC17C5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●生命教育</w:t>
            </w:r>
          </w:p>
          <w:p w14:paraId="12B8B876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生 E2 理解人的身體與心理面向。</w:t>
            </w:r>
          </w:p>
          <w:p w14:paraId="53893CD1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cs="標楷體" w:hint="eastAsia"/>
              </w:rPr>
              <w:t>生 E3 理解人是會思考、有情緒、能進行自主決定的個體。</w:t>
            </w:r>
          </w:p>
        </w:tc>
      </w:tr>
      <w:tr w:rsidR="00D607DE" w14:paraId="4F3E3863" w14:textId="77777777" w:rsidTr="00884005">
        <w:trPr>
          <w:cantSplit/>
          <w:trHeight w:val="567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FA5C" w14:textId="77777777" w:rsidR="00D607DE" w:rsidRDefault="00D607DE" w:rsidP="00884005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7602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1BB9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國E11 體會國際弱勢者的現象與處境。</w:t>
            </w:r>
          </w:p>
        </w:tc>
      </w:tr>
      <w:tr w:rsidR="00D607DE" w14:paraId="7C2C3A21" w14:textId="77777777" w:rsidTr="00884005">
        <w:trPr>
          <w:cantSplit/>
          <w:trHeight w:val="940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FFF0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學習目標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6915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1.認識月經的形成及其意義。</w:t>
            </w:r>
          </w:p>
          <w:p w14:paraId="55245518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2.了解生理期的保健。</w:t>
            </w:r>
          </w:p>
          <w:p w14:paraId="6DE16D55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cs="標楷體" w:hint="eastAsia"/>
              </w:rPr>
              <w:t>3.以健康的心態面對青春期的生理變化。</w:t>
            </w:r>
          </w:p>
        </w:tc>
      </w:tr>
      <w:tr w:rsidR="00D607DE" w14:paraId="005C8708" w14:textId="77777777" w:rsidTr="00884005">
        <w:trPr>
          <w:cantSplit/>
          <w:trHeight w:val="1121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05B0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評量策略</w:t>
            </w:r>
          </w:p>
          <w:p w14:paraId="064A1AF7" w14:textId="77777777" w:rsidR="00D607DE" w:rsidRDefault="00D607DE" w:rsidP="00884005">
            <w:pPr>
              <w:pStyle w:val="Standard"/>
              <w:jc w:val="both"/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（含評量基準或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br/>
            </w:r>
            <w:r>
              <w:rPr>
                <w:rFonts w:ascii="Times New Roman" w:eastAsia="標楷體" w:hAnsi="Times New Roman"/>
                <w:sz w:val="22"/>
                <w:szCs w:val="22"/>
              </w:rPr>
              <w:t>評分規</w:t>
            </w:r>
            <w:proofErr w:type="gramStart"/>
            <w:r>
              <w:rPr>
                <w:rFonts w:ascii="Times New Roman" w:eastAsia="標楷體" w:hAnsi="Times New Roman"/>
                <w:sz w:val="22"/>
                <w:szCs w:val="22"/>
              </w:rPr>
              <w:t>準</w:t>
            </w:r>
            <w:proofErr w:type="gramEnd"/>
            <w:r>
              <w:rPr>
                <w:rFonts w:ascii="Times New Roman" w:eastAsia="標楷體" w:hAnsi="Times New Roman"/>
                <w:sz w:val="22"/>
                <w:szCs w:val="22"/>
              </w:rPr>
              <w:t>說明）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2A07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.</w:t>
            </w:r>
            <w:r w:rsidRPr="00A05C50">
              <w:rPr>
                <w:rFonts w:ascii="Times New Roman" w:eastAsia="標楷體" w:hAnsi="Times New Roman" w:hint="eastAsia"/>
              </w:rPr>
              <w:t>發表從影片中觀察到的月經是什麼樣的身體反應</w:t>
            </w:r>
          </w:p>
          <w:p w14:paraId="68CE4680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.</w:t>
            </w:r>
            <w:r w:rsidRPr="00A05C50">
              <w:rPr>
                <w:rFonts w:ascii="Times New Roman" w:eastAsia="標楷體" w:hAnsi="Times New Roman" w:hint="eastAsia"/>
              </w:rPr>
              <w:t>分享當遇到身旁的同學或家人面對生理期來時，應該如何給予恰當的協助？</w:t>
            </w:r>
          </w:p>
          <w:p w14:paraId="4C739549" w14:textId="77777777" w:rsidR="00D607DE" w:rsidRPr="00A05C50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/>
              </w:rPr>
              <w:t>.</w:t>
            </w:r>
            <w:r w:rsidRPr="00A05C50">
              <w:rPr>
                <w:rFonts w:ascii="Times New Roman" w:eastAsia="標楷體" w:hAnsi="Times New Roman" w:hint="eastAsia"/>
              </w:rPr>
              <w:t>思考如何運用社會資源，在月經貧窮的議題上，盡可能提兩性實質平權。</w:t>
            </w:r>
          </w:p>
          <w:p w14:paraId="0932E3DF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  <w:r w:rsidRPr="00A05C50">
              <w:rPr>
                <w:rFonts w:ascii="Times New Roman" w:eastAsia="標楷體" w:hAnsi="Times New Roman" w:hint="eastAsia"/>
              </w:rPr>
              <w:t>.</w:t>
            </w:r>
            <w:r w:rsidRPr="00A05C50">
              <w:rPr>
                <w:rFonts w:ascii="Times New Roman" w:eastAsia="標楷體" w:hAnsi="Times New Roman" w:hint="eastAsia"/>
              </w:rPr>
              <w:t>學生完成</w:t>
            </w:r>
            <w:proofErr w:type="gramStart"/>
            <w:r w:rsidRPr="00A05C50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Pr="00A05C50">
              <w:rPr>
                <w:rFonts w:ascii="Times New Roman" w:eastAsia="標楷體" w:hAnsi="Times New Roman" w:hint="eastAsia"/>
              </w:rPr>
              <w:t>封信。</w:t>
            </w:r>
          </w:p>
        </w:tc>
      </w:tr>
      <w:tr w:rsidR="00D607DE" w14:paraId="28871FCB" w14:textId="77777777" w:rsidTr="00884005">
        <w:trPr>
          <w:cantSplit/>
          <w:trHeight w:val="669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E70A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教學流程及內容設計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601F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4664B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教學資源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2DB3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評量方式</w:t>
            </w:r>
          </w:p>
        </w:tc>
      </w:tr>
      <w:tr w:rsidR="00D607DE" w14:paraId="124878A7" w14:textId="77777777" w:rsidTr="00884005">
        <w:trPr>
          <w:cantSplit/>
          <w:trHeight w:val="4601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7A92" w14:textId="77777777" w:rsidR="00D607DE" w:rsidRDefault="00D607DE" w:rsidP="00D607DE">
            <w:pPr>
              <w:numPr>
                <w:ilvl w:val="0"/>
                <w:numId w:val="15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引起動機</w:t>
            </w:r>
          </w:p>
          <w:p w14:paraId="18FA2C5A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1.學生透過影片瞭解這是女生邁入青春期的入場券，讓男生或是尚未青春期的女生瞭解到這是女生人生必經的過程。</w:t>
            </w:r>
          </w:p>
          <w:p w14:paraId="50842F18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衛生福利部國民健康署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─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從「經」開始，健康喜悅</w:t>
            </w:r>
          </w:p>
          <w:p w14:paraId="7A0F809C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hyperlink r:id="rId7" w:history="1">
              <w:r>
                <w:rPr>
                  <w:rStyle w:val="ac"/>
                  <w:rFonts w:ascii="標楷體" w:eastAsia="標楷體" w:hAnsi="標楷體" w:cs="標楷體" w:hint="eastAsia"/>
                  <w:color w:val="0563C1"/>
                </w:rPr>
                <w:t>https://www.youtube.com/watch?v=i-U3k6AWYPU</w:t>
              </w:r>
            </w:hyperlink>
          </w:p>
          <w:p w14:paraId="3FC5D928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2.學生發表從影片中觀察到的月經是什麼樣的身體反應。</w:t>
            </w:r>
          </w:p>
          <w:p w14:paraId="2428B05F" w14:textId="77777777" w:rsidR="00D607DE" w:rsidRDefault="00D607DE" w:rsidP="00D607DE">
            <w:pPr>
              <w:numPr>
                <w:ilvl w:val="0"/>
                <w:numId w:val="15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主要活動</w:t>
            </w:r>
          </w:p>
          <w:p w14:paraId="4802E203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1.學生透過簡報分享，認識除了經血，還有其他的不適，如經痛、子宮內膜異位症、骨盆腔發炎、子宮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肌腺症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、子宮肌瘤等疾病。</w:t>
            </w:r>
          </w:p>
          <w:p w14:paraId="31A55B17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2.學生透過簡報分享，理解世俗常見的月經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汙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名化，理解適宜的面對女生在月經的應對上所應該有的適宜態度。</w:t>
            </w:r>
          </w:p>
          <w:p w14:paraId="2FA45E91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3.學生分享當遇到身旁的同學或家人面對生理期來時，應該如何給予恰當的協助？</w:t>
            </w:r>
          </w:p>
          <w:p w14:paraId="4FCCB904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4.學生透過月經貧窮的討論議題，理解兩性在生活上的差異，進而提高兩性實質平權。</w:t>
            </w:r>
          </w:p>
          <w:p w14:paraId="7BE2AE35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5.學生提出發想，思考如何運用社會資源，在月經貧窮的議題上，盡可能提兩性實質平權。</w:t>
            </w:r>
          </w:p>
          <w:p w14:paraId="42422CB4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4.學生透過簡報分享，瞭解有各式各樣的生理用品可以使用。</w:t>
            </w:r>
          </w:p>
          <w:p w14:paraId="7FB9BC32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375BCF5" w14:textId="77777777" w:rsidR="00D607DE" w:rsidRDefault="00D607DE" w:rsidP="00D607DE">
            <w:pPr>
              <w:numPr>
                <w:ilvl w:val="0"/>
                <w:numId w:val="15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總結活動</w:t>
            </w:r>
          </w:p>
          <w:p w14:paraId="26DEC0F9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1.學生完成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封信。</w:t>
            </w:r>
          </w:p>
          <w:p w14:paraId="4A9DCC40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(1)男生版：因為自己的媽媽、奶奶、外婆從青春期後便在心理上、身體上，甚至經濟上體會到種種男生體會不到的辛苦，想一想，如果是你，你願意這樣忍受每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月一次的辛苦來迎接未來能夠誕生新生命的機會嗎？對於奉獻自己大半輩子照顧好自己的身體，以迎接新生命的女性們，利用這個機會對自己的家人說一段感謝的話。</w:t>
            </w:r>
          </w:p>
          <w:p w14:paraId="22B18B25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(2)女生版：面對自己已經到來的青春期，試著說說看自己在生理期時的感受。並且想一想，若是有一天生理期到來時，希望旁人給予什麼樣的協助？</w:t>
            </w:r>
          </w:p>
          <w:p w14:paraId="1033C065" w14:textId="77777777" w:rsidR="00D607DE" w:rsidRDefault="00D607DE" w:rsidP="00884005">
            <w:pP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2.學生發表自己學習單的內容，並透過師生給予回饋。</w:t>
            </w:r>
          </w:p>
          <w:p w14:paraId="2C688DC7" w14:textId="77777777" w:rsidR="00D607DE" w:rsidRPr="00A05C50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CFC7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0D16DFE2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6分鐘</w:t>
            </w:r>
          </w:p>
          <w:p w14:paraId="4197ABBB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72A3FB79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17F3494B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6B4F914B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6685DC49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3860C80B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73E71A92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2分鐘</w:t>
            </w:r>
          </w:p>
          <w:p w14:paraId="03F3454F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26B69B54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6719EC3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5分鐘</w:t>
            </w:r>
          </w:p>
          <w:p w14:paraId="0FE46FFE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9A90BE2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7539C82C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5分鐘</w:t>
            </w:r>
          </w:p>
          <w:p w14:paraId="44C12F7A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2473FF3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26D24F2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2分鐘</w:t>
            </w:r>
          </w:p>
          <w:p w14:paraId="702F1F51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5AD16A99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3分鐘</w:t>
            </w:r>
          </w:p>
          <w:p w14:paraId="2EF3594F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8B5EA7D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2分鐘</w:t>
            </w:r>
          </w:p>
          <w:p w14:paraId="05F19F7F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218075B3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3分鐘</w:t>
            </w:r>
          </w:p>
          <w:p w14:paraId="58300E18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699A628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0F88148A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7288BAF6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02795E7D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7分鐘</w:t>
            </w:r>
          </w:p>
          <w:p w14:paraId="052AA347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FC6814F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0D5B8C1C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0C1ABF41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7927D31D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07DAE9B6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7444AD6D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09BE254A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5EA93091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1BB91CB8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278F83DB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7C22733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cs="標楷體" w:hint="eastAsia"/>
              </w:rPr>
              <w:t>5分鐘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A3AB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2A1D6A6" w14:textId="77777777" w:rsidR="00D607DE" w:rsidRDefault="00D607DE" w:rsidP="00884005">
            <w:r>
              <w:rPr>
                <w:rFonts w:ascii="標楷體" w:eastAsia="標楷體" w:hAnsi="標楷體" w:cs="標楷體" w:hint="eastAsia"/>
                <w:color w:val="000000"/>
              </w:rPr>
              <w:t>衛生福利部國民健康署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─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從「經」開始，健康喜悅</w:t>
            </w:r>
            <w:hyperlink r:id="rId8" w:history="1">
              <w:r>
                <w:rPr>
                  <w:rStyle w:val="ac"/>
                  <w:rFonts w:ascii="標楷體" w:eastAsia="標楷體" w:hAnsi="標楷體" w:cs="標楷體" w:hint="eastAsia"/>
                  <w:color w:val="0563C1"/>
                </w:rPr>
                <w:t>https://www.youtube.com/watch?v=i-U3k6AWYPU</w:t>
              </w:r>
            </w:hyperlink>
          </w:p>
          <w:p w14:paraId="55B47E23" w14:textId="77777777" w:rsidR="00D607DE" w:rsidRDefault="00D607DE" w:rsidP="00884005">
            <w:pPr>
              <w:rPr>
                <w:rFonts w:ascii="標楷體" w:eastAsia="標楷體" w:hAnsi="標楷體" w:cs="標楷體"/>
                <w:color w:val="000000"/>
              </w:rPr>
            </w:pPr>
          </w:p>
          <w:p w14:paraId="0857EAC5" w14:textId="77777777" w:rsidR="00D607DE" w:rsidRDefault="00D607DE" w:rsidP="00884005">
            <w:pPr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均悅文化</w:t>
            </w:r>
            <w:proofErr w:type="gramEnd"/>
            <w:r>
              <w:rPr>
                <w:rFonts w:ascii="標楷體" w:eastAsia="標楷體" w:hAnsi="標楷體" w:cs="標楷體" w:hint="eastAsia"/>
              </w:rPr>
              <w:t>教案分享</w:t>
            </w:r>
            <w:proofErr w:type="gramStart"/>
            <w:r>
              <w:rPr>
                <w:rFonts w:ascii="標楷體" w:eastAsia="標楷體" w:hAnsi="標楷體" w:cs="標楷體" w:hint="eastAsia"/>
              </w:rPr>
              <w:t>｜</w:t>
            </w:r>
            <w:proofErr w:type="gramEnd"/>
            <w:r>
              <w:rPr>
                <w:rFonts w:ascii="標楷體" w:eastAsia="標楷體" w:hAnsi="標楷體" w:cs="標楷體" w:hint="eastAsia"/>
              </w:rPr>
              <w:t>月事革命https://www.dreamway2019.com/product_d.php?lang=tw&amp;tb=2&amp;cid=53&amp;id=3038</w:t>
            </w:r>
          </w:p>
          <w:p w14:paraId="2FD64A2E" w14:textId="77777777" w:rsidR="00D607DE" w:rsidRPr="00A8140A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8C8B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5664956C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學生觀賞影片</w:t>
            </w:r>
          </w:p>
          <w:p w14:paraId="6BC543C5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09C5E038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07377D5E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76D13B63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53E046AA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5E03D1C8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5393C052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學生發表</w:t>
            </w:r>
          </w:p>
          <w:p w14:paraId="6645DB62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20FE3763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539FA34F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學生仔細聆聽</w:t>
            </w:r>
          </w:p>
          <w:p w14:paraId="2E48FF71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17C618D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5BB72D58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學生仔細聆聽</w:t>
            </w:r>
          </w:p>
          <w:p w14:paraId="1D5381FB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27AE3B13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621D06EA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學生發表</w:t>
            </w:r>
          </w:p>
          <w:p w14:paraId="0E9F35FF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0CE73C33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學生仔細聆聽</w:t>
            </w:r>
          </w:p>
          <w:p w14:paraId="1DFD2BB9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14831EB8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學生發表</w:t>
            </w:r>
          </w:p>
          <w:p w14:paraId="053E2967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3CC6FC81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學生仔細聆聽</w:t>
            </w:r>
          </w:p>
          <w:p w14:paraId="38D1C186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61F9F14B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CAAAC40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A9F0391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5158B63B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學生完成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封信</w:t>
            </w:r>
          </w:p>
          <w:p w14:paraId="5353C621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4FE4D1E1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1854822D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7D12BF3A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533F0DD4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35025E4D" w14:textId="77777777" w:rsidR="00D607DE" w:rsidRDefault="00D607DE" w:rsidP="00884005">
            <w:pPr>
              <w:jc w:val="both"/>
              <w:rPr>
                <w:rFonts w:ascii="標楷體" w:eastAsia="標楷體" w:hAnsi="標楷體" w:cs="標楷體"/>
              </w:rPr>
            </w:pPr>
          </w:p>
          <w:p w14:paraId="36E8731C" w14:textId="77777777" w:rsidR="00D607DE" w:rsidRDefault="00D607DE" w:rsidP="0088400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0E94C96C" w14:textId="77777777" w:rsidR="00D607DE" w:rsidRDefault="00D607DE" w:rsidP="0088400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7CFFFC50" w14:textId="77777777" w:rsidR="00D607DE" w:rsidRDefault="00D607DE" w:rsidP="0088400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037F7F3A" w14:textId="77777777" w:rsidR="00D607DE" w:rsidRDefault="00D607DE" w:rsidP="0088400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4D4098C7" w14:textId="77777777" w:rsidR="00D607DE" w:rsidRDefault="00D607DE" w:rsidP="00884005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4231F9C9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學生發表</w:t>
            </w:r>
          </w:p>
        </w:tc>
      </w:tr>
      <w:tr w:rsidR="00D607DE" w14:paraId="7EAC5E18" w14:textId="77777777" w:rsidTr="00884005">
        <w:trPr>
          <w:cantSplit/>
          <w:trHeight w:val="1003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4FFA" w14:textId="77777777" w:rsidR="00D607DE" w:rsidRDefault="00D607DE" w:rsidP="00884005">
            <w:pPr>
              <w:pStyle w:val="Standard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lastRenderedPageBreak/>
              <w:t>指導要點及注意事項</w:t>
            </w:r>
          </w:p>
        </w:tc>
        <w:tc>
          <w:tcPr>
            <w:tcW w:w="9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CADC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要注意孩子分享時，大家的態度是開放、認真地聆聽，而不是帶著開玩笑的心情進行交流，會讓其他孩子不願意分享內心的感受。</w:t>
            </w:r>
          </w:p>
        </w:tc>
      </w:tr>
      <w:tr w:rsidR="00D607DE" w14:paraId="3DDF885D" w14:textId="77777777" w:rsidTr="00884005">
        <w:trPr>
          <w:cantSplit/>
          <w:trHeight w:val="706"/>
          <w:jc w:val="center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B3FC" w14:textId="77777777" w:rsidR="00D607DE" w:rsidRDefault="00D607DE" w:rsidP="00884005">
            <w:pPr>
              <w:pStyle w:val="Standard"/>
              <w:jc w:val="both"/>
            </w:pPr>
            <w:r>
              <w:rPr>
                <w:rFonts w:ascii="Times New Roman" w:eastAsia="標楷體" w:hAnsi="Times New Roman"/>
                <w:b/>
              </w:rPr>
              <w:t>教學心得與省思</w:t>
            </w:r>
            <w:r>
              <w:rPr>
                <w:rFonts w:ascii="Times New Roman" w:eastAsia="標楷體" w:hAnsi="Times New Roman"/>
              </w:rPr>
              <w:t>（含設計歷程與教學實踐反思、學生學習成效分析、未來教學的修正建議等）</w:t>
            </w:r>
          </w:p>
        </w:tc>
      </w:tr>
      <w:tr w:rsidR="00D607DE" w14:paraId="75F2B484" w14:textId="77777777" w:rsidTr="00884005">
        <w:trPr>
          <w:cantSplit/>
          <w:trHeight w:val="1509"/>
          <w:jc w:val="center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2C01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</w:t>
            </w:r>
            <w:r>
              <w:rPr>
                <w:rFonts w:ascii="Times New Roman" w:eastAsia="標楷體" w:hAnsi="Times New Roman" w:hint="eastAsia"/>
              </w:rPr>
              <w:t>高年級的學生即將進入青春期，無論男女都對第二性徵產生興趣，透過課程的澄清，理解</w:t>
            </w:r>
          </w:p>
          <w:p w14:paraId="00C80280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月經的形成以及意義，也讓男女生都理解此時所需的保健方式，提供正確的態度面對突如其來月經</w:t>
            </w:r>
            <w:proofErr w:type="gramStart"/>
            <w:r>
              <w:rPr>
                <w:rFonts w:ascii="Times New Roman" w:eastAsia="標楷體" w:hAnsi="Times New Roman" w:hint="eastAsia"/>
              </w:rPr>
              <w:t>來潮時</w:t>
            </w:r>
            <w:proofErr w:type="gramEnd"/>
            <w:r>
              <w:rPr>
                <w:rFonts w:ascii="Times New Roman" w:eastAsia="標楷體" w:hAnsi="Times New Roman" w:hint="eastAsia"/>
              </w:rPr>
              <w:t>，不需要大驚小怪，或是來圍觀，如何有風度地互相提醒、包容，</w:t>
            </w:r>
          </w:p>
          <w:p w14:paraId="14149DB4" w14:textId="77777777" w:rsidR="00D607DE" w:rsidRDefault="00D607DE" w:rsidP="00884005">
            <w:pPr>
              <w:pStyle w:val="Standard"/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</w:t>
            </w:r>
            <w:r>
              <w:rPr>
                <w:rFonts w:ascii="Times New Roman" w:eastAsia="標楷體" w:hAnsi="Times New Roman" w:hint="eastAsia"/>
              </w:rPr>
              <w:t>經過課程實施後，學生理解原來已經有過月經經驗的孩子，是會有多大的不適，並且會有心情上的顧慮，不是只單純需要替換衛生棉等的煩惱而已，使男女雙方更能站在對方的立場思考。</w:t>
            </w:r>
          </w:p>
        </w:tc>
      </w:tr>
    </w:tbl>
    <w:p w14:paraId="7B042525" w14:textId="77777777" w:rsidR="00D607DE" w:rsidRDefault="00D607DE" w:rsidP="00D607DE">
      <w:pPr>
        <w:pStyle w:val="Standard"/>
        <w:widowControl/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69120855" w14:textId="77777777" w:rsidR="00D607DE" w:rsidRDefault="00D607DE" w:rsidP="00D607DE">
      <w:pPr>
        <w:pStyle w:val="Standard"/>
        <w:widowControl/>
        <w:jc w:val="both"/>
        <w:rPr>
          <w:rFonts w:ascii="Times New Roman" w:eastAsia="標楷體" w:hAnsi="Times New Roman"/>
        </w:rPr>
      </w:pPr>
    </w:p>
    <w:p w14:paraId="73D68383" w14:textId="77777777" w:rsidR="00D607DE" w:rsidRPr="006536CC" w:rsidRDefault="00D607DE" w:rsidP="00D607DE">
      <w:pPr>
        <w:widowControl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6536CC">
        <w:rPr>
          <w:rFonts w:ascii="Times New Roman" w:eastAsia="標楷體" w:hAnsi="Times New Roman"/>
          <w:b/>
          <w:bCs/>
          <w:sz w:val="28"/>
          <w:szCs w:val="28"/>
        </w:rPr>
        <w:t>教學照片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73"/>
        <w:gridCol w:w="5283"/>
      </w:tblGrid>
      <w:tr w:rsidR="00D607DE" w:rsidRPr="006536CC" w14:paraId="111F41EA" w14:textId="77777777" w:rsidTr="00884005">
        <w:tc>
          <w:tcPr>
            <w:tcW w:w="5173" w:type="dxa"/>
          </w:tcPr>
          <w:p w14:paraId="0780223E" w14:textId="77777777" w:rsidR="00D607DE" w:rsidRPr="006536CC" w:rsidRDefault="00D607DE" w:rsidP="00884005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noProof/>
                <w:color w:val="000000"/>
              </w:rPr>
              <w:drawing>
                <wp:inline distT="0" distB="0" distL="0" distR="0" wp14:anchorId="74A39A62" wp14:editId="4366A267">
                  <wp:extent cx="3047418" cy="2286000"/>
                  <wp:effectExtent l="0" t="0" r="63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628" cy="228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</w:tcPr>
          <w:p w14:paraId="59AE5C7E" w14:textId="77777777" w:rsidR="00D607DE" w:rsidRPr="006536CC" w:rsidRDefault="00D607DE" w:rsidP="00884005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noProof/>
                <w:color w:val="000000"/>
              </w:rPr>
              <w:drawing>
                <wp:inline distT="0" distB="0" distL="0" distR="0" wp14:anchorId="53712C8C" wp14:editId="37C6DC9D">
                  <wp:extent cx="3016885" cy="2263096"/>
                  <wp:effectExtent l="0" t="0" r="0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211" cy="227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7DE" w:rsidRPr="006536CC" w14:paraId="0AC4A0D7" w14:textId="77777777" w:rsidTr="00884005">
        <w:tc>
          <w:tcPr>
            <w:tcW w:w="5173" w:type="dxa"/>
          </w:tcPr>
          <w:p w14:paraId="77307650" w14:textId="77777777" w:rsidR="00D607DE" w:rsidRPr="006536CC" w:rsidRDefault="00D607DE" w:rsidP="00884005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 w:rsidRPr="006536CC">
              <w:rPr>
                <w:rFonts w:ascii="Times New Roman" w:eastAsia="標楷體" w:hAnsi="Times New Roman" w:hint="eastAsia"/>
                <w:bCs/>
                <w:color w:val="000000"/>
              </w:rPr>
              <w:t>說明：</w:t>
            </w:r>
            <w:r>
              <w:rPr>
                <w:rFonts w:ascii="Times New Roman" w:eastAsia="標楷體" w:hAnsi="Times New Roman" w:hint="eastAsia"/>
                <w:bCs/>
                <w:color w:val="000000"/>
              </w:rPr>
              <w:t>經痛有兩種</w:t>
            </w:r>
          </w:p>
        </w:tc>
        <w:tc>
          <w:tcPr>
            <w:tcW w:w="5283" w:type="dxa"/>
          </w:tcPr>
          <w:p w14:paraId="1937BFC5" w14:textId="77777777" w:rsidR="00D607DE" w:rsidRPr="006536CC" w:rsidRDefault="00D607DE" w:rsidP="00884005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 w:rsidRPr="006536CC">
              <w:rPr>
                <w:rFonts w:ascii="Times New Roman" w:eastAsia="標楷體" w:hAnsi="Times New Roman" w:hint="eastAsia"/>
                <w:bCs/>
                <w:color w:val="000000"/>
              </w:rPr>
              <w:t>說明：</w:t>
            </w:r>
            <w:r>
              <w:rPr>
                <w:rFonts w:ascii="Times New Roman" w:eastAsia="標楷體" w:hAnsi="Times New Roman" w:hint="eastAsia"/>
                <w:bCs/>
                <w:color w:val="000000"/>
              </w:rPr>
              <w:t>用雨天會濕濕比喻讓未有月經的學生同理</w:t>
            </w:r>
          </w:p>
        </w:tc>
      </w:tr>
      <w:tr w:rsidR="00D607DE" w:rsidRPr="006536CC" w14:paraId="1A11ECCB" w14:textId="77777777" w:rsidTr="00884005">
        <w:tc>
          <w:tcPr>
            <w:tcW w:w="5173" w:type="dxa"/>
          </w:tcPr>
          <w:p w14:paraId="345B1B64" w14:textId="77777777" w:rsidR="00D607DE" w:rsidRPr="006536CC" w:rsidRDefault="00D607DE" w:rsidP="00884005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noProof/>
                <w:color w:val="000000"/>
              </w:rPr>
              <w:drawing>
                <wp:inline distT="0" distB="0" distL="0" distR="0" wp14:anchorId="630A4022" wp14:editId="1B4B5509">
                  <wp:extent cx="3402950" cy="2552700"/>
                  <wp:effectExtent l="0" t="0" r="762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416" cy="2562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</w:tcPr>
          <w:p w14:paraId="2636A984" w14:textId="77777777" w:rsidR="00D607DE" w:rsidRPr="006536CC" w:rsidRDefault="00D607DE" w:rsidP="00884005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noProof/>
                <w:color w:val="000000"/>
              </w:rPr>
              <w:drawing>
                <wp:inline distT="0" distB="0" distL="0" distR="0" wp14:anchorId="3409F756" wp14:editId="7D627980">
                  <wp:extent cx="3483610" cy="2613207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0412" cy="2625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7DE" w:rsidRPr="006536CC" w14:paraId="12B63F35" w14:textId="77777777" w:rsidTr="00884005">
        <w:tc>
          <w:tcPr>
            <w:tcW w:w="5173" w:type="dxa"/>
          </w:tcPr>
          <w:p w14:paraId="3CB5F84B" w14:textId="77777777" w:rsidR="00D607DE" w:rsidRPr="006536CC" w:rsidRDefault="00D607DE" w:rsidP="00884005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 w:rsidRPr="006536CC">
              <w:rPr>
                <w:rFonts w:ascii="Times New Roman" w:eastAsia="標楷體" w:hAnsi="Times New Roman" w:hint="eastAsia"/>
                <w:bCs/>
                <w:color w:val="000000"/>
              </w:rPr>
              <w:lastRenderedPageBreak/>
              <w:t>說明：</w:t>
            </w:r>
            <w:r>
              <w:rPr>
                <w:rFonts w:ascii="Times New Roman" w:eastAsia="標楷體" w:hAnsi="Times New Roman" w:hint="eastAsia"/>
                <w:bCs/>
                <w:color w:val="000000"/>
              </w:rPr>
              <w:t>進行月事革命的簡報教學</w:t>
            </w:r>
          </w:p>
        </w:tc>
        <w:tc>
          <w:tcPr>
            <w:tcW w:w="5283" w:type="dxa"/>
          </w:tcPr>
          <w:p w14:paraId="2C033934" w14:textId="77777777" w:rsidR="00D607DE" w:rsidRPr="006536CC" w:rsidRDefault="00D607DE" w:rsidP="00884005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 w:rsidRPr="006536CC">
              <w:rPr>
                <w:rFonts w:ascii="Times New Roman" w:eastAsia="標楷體" w:hAnsi="Times New Roman" w:hint="eastAsia"/>
                <w:bCs/>
                <w:color w:val="000000"/>
              </w:rPr>
              <w:t>說明：</w:t>
            </w:r>
            <w:r>
              <w:rPr>
                <w:rFonts w:ascii="Times New Roman" w:eastAsia="標楷體" w:hAnsi="Times New Roman" w:hint="eastAsia"/>
                <w:bCs/>
                <w:color w:val="000000"/>
              </w:rPr>
              <w:t>不論男女，月經都是你應該知道的事情</w:t>
            </w:r>
          </w:p>
        </w:tc>
      </w:tr>
    </w:tbl>
    <w:p w14:paraId="401B7633" w14:textId="77777777" w:rsidR="000E747F" w:rsidRPr="00D607DE" w:rsidRDefault="000E747F" w:rsidP="00AE06B8">
      <w:pPr>
        <w:spacing w:after="120" w:line="496" w:lineRule="auto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0E747F" w:rsidRPr="00D607DE">
      <w:footerReference w:type="default" r:id="rId13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DA2EB" w14:textId="77777777" w:rsidR="00DD3418" w:rsidRDefault="00DD3418">
      <w:r>
        <w:separator/>
      </w:r>
    </w:p>
  </w:endnote>
  <w:endnote w:type="continuationSeparator" w:id="0">
    <w:p w14:paraId="44CAC385" w14:textId="77777777" w:rsidR="00DD3418" w:rsidRDefault="00DD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9AEE0" w14:textId="77777777" w:rsidR="00FE46D9" w:rsidRDefault="005B2711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jc w:val="center"/>
    </w:pPr>
    <w:r>
      <w:rPr>
        <w:rFonts w:eastAsia="Calibri"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 xml:space="preserve"> PAGE </w:instrText>
    </w:r>
    <w:r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color w:val="000000"/>
        <w:sz w:val="20"/>
        <w:szCs w:val="20"/>
      </w:rPr>
      <w:t>3</w:t>
    </w:r>
    <w:r>
      <w:rPr>
        <w:rFonts w:eastAsia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90477" w14:textId="77777777" w:rsidR="00DD3418" w:rsidRDefault="00DD3418">
      <w:r>
        <w:rPr>
          <w:color w:val="000000"/>
        </w:rPr>
        <w:separator/>
      </w:r>
    </w:p>
  </w:footnote>
  <w:footnote w:type="continuationSeparator" w:id="0">
    <w:p w14:paraId="3F272041" w14:textId="77777777" w:rsidR="00DD3418" w:rsidRDefault="00DD3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3357"/>
    <w:multiLevelType w:val="multilevel"/>
    <w:tmpl w:val="76982326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EA62BCC"/>
    <w:multiLevelType w:val="multilevel"/>
    <w:tmpl w:val="FA7E37E6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FA41911"/>
    <w:multiLevelType w:val="multilevel"/>
    <w:tmpl w:val="89D29F60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737149A"/>
    <w:multiLevelType w:val="multilevel"/>
    <w:tmpl w:val="00D8D4C0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2F690E8C"/>
    <w:multiLevelType w:val="multilevel"/>
    <w:tmpl w:val="83DE7260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C1F3BAA"/>
    <w:multiLevelType w:val="multilevel"/>
    <w:tmpl w:val="39A04306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41C56F48"/>
    <w:multiLevelType w:val="multilevel"/>
    <w:tmpl w:val="C01A331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055F4D"/>
    <w:multiLevelType w:val="multilevel"/>
    <w:tmpl w:val="C5DE8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10" w:hanging="480"/>
      </w:pPr>
    </w:lvl>
    <w:lvl w:ilvl="2">
      <w:start w:val="1"/>
      <w:numFmt w:val="lowerRoman"/>
      <w:lvlText w:val="%3."/>
      <w:lvlJc w:val="right"/>
      <w:pPr>
        <w:ind w:left="1390" w:hanging="480"/>
      </w:pPr>
    </w:lvl>
    <w:lvl w:ilvl="3">
      <w:start w:val="1"/>
      <w:numFmt w:val="decimal"/>
      <w:lvlText w:val="%4."/>
      <w:lvlJc w:val="left"/>
      <w:pPr>
        <w:ind w:left="1870" w:hanging="480"/>
      </w:pPr>
    </w:lvl>
    <w:lvl w:ilvl="4">
      <w:start w:val="1"/>
      <w:numFmt w:val="decimal"/>
      <w:lvlText w:val="%5、"/>
      <w:lvlJc w:val="left"/>
      <w:pPr>
        <w:ind w:left="2350" w:hanging="480"/>
      </w:pPr>
    </w:lvl>
    <w:lvl w:ilvl="5">
      <w:start w:val="1"/>
      <w:numFmt w:val="lowerRoman"/>
      <w:lvlText w:val="%6."/>
      <w:lvlJc w:val="right"/>
      <w:pPr>
        <w:ind w:left="2830" w:hanging="480"/>
      </w:pPr>
    </w:lvl>
    <w:lvl w:ilvl="6">
      <w:start w:val="1"/>
      <w:numFmt w:val="decimal"/>
      <w:lvlText w:val="%7."/>
      <w:lvlJc w:val="left"/>
      <w:pPr>
        <w:ind w:left="3310" w:hanging="480"/>
      </w:pPr>
    </w:lvl>
    <w:lvl w:ilvl="7">
      <w:start w:val="1"/>
      <w:numFmt w:val="decimal"/>
      <w:lvlText w:val="%8、"/>
      <w:lvlJc w:val="left"/>
      <w:pPr>
        <w:ind w:left="3790" w:hanging="480"/>
      </w:pPr>
    </w:lvl>
    <w:lvl w:ilvl="8">
      <w:start w:val="1"/>
      <w:numFmt w:val="lowerRoman"/>
      <w:lvlText w:val="%9."/>
      <w:lvlJc w:val="right"/>
      <w:pPr>
        <w:ind w:left="4270" w:hanging="480"/>
      </w:pPr>
    </w:lvl>
  </w:abstractNum>
  <w:abstractNum w:abstractNumId="8" w15:restartNumberingAfterBreak="0">
    <w:nsid w:val="58533AB7"/>
    <w:multiLevelType w:val="multilevel"/>
    <w:tmpl w:val="7C44D4D4"/>
    <w:lvl w:ilvl="0">
      <w:start w:val="1"/>
      <w:numFmt w:val="decimal"/>
      <w:lvlText w:val="%1."/>
      <w:lvlJc w:val="left"/>
      <w:pPr>
        <w:ind w:left="1560" w:hanging="360"/>
      </w:pPr>
      <w:rPr>
        <w:b/>
        <w:bCs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620F3821"/>
    <w:multiLevelType w:val="multilevel"/>
    <w:tmpl w:val="28FE2084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77F964DE"/>
    <w:multiLevelType w:val="multilevel"/>
    <w:tmpl w:val="ED00BDDA"/>
    <w:lvl w:ilvl="0">
      <w:start w:val="1"/>
      <w:numFmt w:val="taiwaneseCountingThousand"/>
      <w:lvlText w:val="(%1)"/>
      <w:lvlJc w:val="left"/>
      <w:pPr>
        <w:ind w:left="16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77FE0C47"/>
    <w:multiLevelType w:val="multilevel"/>
    <w:tmpl w:val="6E6CA386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78C44349"/>
    <w:multiLevelType w:val="multilevel"/>
    <w:tmpl w:val="0F1C1EE0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7B356C16"/>
    <w:multiLevelType w:val="multilevel"/>
    <w:tmpl w:val="C2C0B576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7E585D2F"/>
    <w:multiLevelType w:val="multilevel"/>
    <w:tmpl w:val="3C064236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4"/>
  </w:num>
  <w:num w:numId="5">
    <w:abstractNumId w:val="1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12"/>
  </w:num>
  <w:num w:numId="12">
    <w:abstractNumId w:val="10"/>
  </w:num>
  <w:num w:numId="13">
    <w:abstractNumId w:val="4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7F"/>
    <w:rsid w:val="000C1079"/>
    <w:rsid w:val="000E747F"/>
    <w:rsid w:val="00181443"/>
    <w:rsid w:val="001B2550"/>
    <w:rsid w:val="002E09D3"/>
    <w:rsid w:val="002F0040"/>
    <w:rsid w:val="00413E78"/>
    <w:rsid w:val="005B2711"/>
    <w:rsid w:val="00791C58"/>
    <w:rsid w:val="008253CD"/>
    <w:rsid w:val="009961B3"/>
    <w:rsid w:val="00A23BC4"/>
    <w:rsid w:val="00A457BD"/>
    <w:rsid w:val="00AE06B8"/>
    <w:rsid w:val="00D607DE"/>
    <w:rsid w:val="00DA2ABB"/>
    <w:rsid w:val="00DD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EE385"/>
  <w15:docId w15:val="{C126E47D-1E04-47E1-8A06-E8E35B37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pPr>
      <w:ind w:left="480"/>
    </w:p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Unresolved Mention"/>
    <w:basedOn w:val="a0"/>
    <w:rPr>
      <w:color w:val="605E5C"/>
      <w:shd w:val="clear" w:color="auto" w:fill="E1DFDD"/>
    </w:rPr>
  </w:style>
  <w:style w:type="paragraph" w:customStyle="1" w:styleId="Standard">
    <w:name w:val="Standard"/>
    <w:rsid w:val="00791C58"/>
    <w:pPr>
      <w:suppressAutoHyphens/>
    </w:pPr>
    <w:rPr>
      <w:rFonts w:cs="Times New Roman"/>
    </w:rPr>
  </w:style>
  <w:style w:type="table" w:styleId="ae">
    <w:name w:val="Table Grid"/>
    <w:basedOn w:val="a1"/>
    <w:uiPriority w:val="39"/>
    <w:rsid w:val="00D60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-U3k6AWYP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-U3k6AWYPU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2024-08-19T02:10:00Z</cp:lastPrinted>
  <dcterms:created xsi:type="dcterms:W3CDTF">2025-08-04T05:20:00Z</dcterms:created>
  <dcterms:modified xsi:type="dcterms:W3CDTF">2025-12-07T14:02:00Z</dcterms:modified>
</cp:coreProperties>
</file>