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E8AD8" w14:textId="04FE9B9C" w:rsidR="00AA1AF3" w:rsidRDefault="00382338">
      <w:pPr>
        <w:rPr>
          <w:rFonts w:hint="eastAsia"/>
        </w:rPr>
      </w:pPr>
      <w:r w:rsidRPr="003E1521">
        <w:rPr>
          <w:rFonts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3536E" wp14:editId="4BC3A3B1">
                <wp:simplePos x="0" y="0"/>
                <wp:positionH relativeFrom="column">
                  <wp:posOffset>1264920</wp:posOffset>
                </wp:positionH>
                <wp:positionV relativeFrom="paragraph">
                  <wp:posOffset>-228600</wp:posOffset>
                </wp:positionV>
                <wp:extent cx="3400425" cy="523875"/>
                <wp:effectExtent l="0" t="0" r="9525" b="952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AC904" w14:textId="77777777" w:rsidR="00382338" w:rsidRPr="00F9603D" w:rsidRDefault="00382338" w:rsidP="0038233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9603D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數學領域素養導向評量案例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3536E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99.6pt;margin-top:-18pt;width:267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" fillcolor="white [3201]" stroked="f" strokeweight=".5pt">
                <v:textbox>
                  <w:txbxContent>
                    <w:p w14:paraId="7C5AC904" w14:textId="77777777" w:rsidR="00382338" w:rsidRPr="00F9603D" w:rsidRDefault="00382338" w:rsidP="0038233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9603D">
                        <w:rPr>
                          <w:rFonts w:hint="eastAsia"/>
                          <w:sz w:val="40"/>
                          <w:szCs w:val="40"/>
                        </w:rPr>
                        <w:t>數學領域素養導向評量案例</w:t>
                      </w:r>
                    </w:p>
                  </w:txbxContent>
                </v:textbox>
              </v:shape>
            </w:pict>
          </mc:Fallback>
        </mc:AlternateContent>
      </w:r>
    </w:p>
    <w:p w14:paraId="58F15D14" w14:textId="77777777" w:rsidR="00AA1AF3" w:rsidRDefault="00AA1AF3"/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05"/>
        <w:gridCol w:w="3000"/>
        <w:gridCol w:w="1500"/>
        <w:gridCol w:w="2940"/>
      </w:tblGrid>
      <w:tr w:rsidR="00AA1AF3" w14:paraId="5A983FAE" w14:textId="77777777" w:rsidTr="00382338"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CB596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單元名稱</w:t>
            </w:r>
          </w:p>
        </w:tc>
        <w:tc>
          <w:tcPr>
            <w:tcW w:w="3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F15DB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比與比例式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64EA5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適用年級</w:t>
            </w:r>
          </w:p>
        </w:tc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3F2D9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七年級</w:t>
            </w:r>
          </w:p>
        </w:tc>
      </w:tr>
      <w:tr w:rsidR="00AA1AF3" w14:paraId="32AE2F8B" w14:textId="77777777" w:rsidTr="00382338"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FCFAD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設計者</w:t>
            </w:r>
          </w:p>
          <w:p w14:paraId="485EF50A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/>
                <w:b/>
                <w:sz w:val="20"/>
                <w:szCs w:val="20"/>
              </w:rPr>
              <w:t>(</w:t>
            </w: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學校</w:t>
            </w:r>
            <w:r w:rsidRPr="00382338">
              <w:rPr>
                <w:rFonts w:asciiTheme="minorEastAsia" w:hAnsiTheme="minorEastAsia"/>
                <w:b/>
                <w:sz w:val="20"/>
                <w:szCs w:val="20"/>
              </w:rPr>
              <w:t>/</w:t>
            </w: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姓名</w:t>
            </w:r>
            <w:r w:rsidRPr="00382338">
              <w:rPr>
                <w:rFonts w:asciiTheme="minorEastAsia" w:hAnsiTheme="minorEastAsia"/>
                <w:b/>
                <w:sz w:val="20"/>
                <w:szCs w:val="20"/>
              </w:rPr>
              <w:t>)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FE2D7" w14:textId="3EC6C157" w:rsidR="00AA1AF3" w:rsidRPr="00382338" w:rsidRDefault="005A3281" w:rsidP="00382338">
            <w:pPr>
              <w:spacing w:line="240" w:lineRule="auto"/>
              <w:ind w:left="140" w:right="140"/>
              <w:rPr>
                <w:rFonts w:asciiTheme="minorEastAsia" w:hAnsiTheme="minorEastAsia" w:hint="eastAsia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佳興國中王建民</w:t>
            </w:r>
            <w:r w:rsidR="00382338">
              <w:rPr>
                <w:rFonts w:asciiTheme="minorEastAsia" w:hAnsiTheme="minorEastAsia" w:cs="Gungsuh" w:hint="eastAsia"/>
                <w:sz w:val="20"/>
                <w:szCs w:val="20"/>
              </w:rPr>
              <w:t>老師</w:t>
            </w:r>
            <w:r w:rsidR="00382338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學甲國中楊仕榮</w:t>
            </w:r>
            <w:r w:rsidR="00382338">
              <w:rPr>
                <w:rFonts w:asciiTheme="minorEastAsia" w:hAnsiTheme="minorEastAsia" w:cs="Gungsuh" w:hint="eastAsia"/>
                <w:sz w:val="20"/>
                <w:szCs w:val="20"/>
              </w:rPr>
              <w:t>老師</w:t>
            </w:r>
            <w:r w:rsidR="00382338">
              <w:rPr>
                <w:rFonts w:asciiTheme="minorEastAsia" w:hAnsiTheme="minorEastAsia" w:hint="eastAsia"/>
                <w:sz w:val="20"/>
                <w:szCs w:val="20"/>
              </w:rPr>
              <w:t>、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西港國中郭奇松</w:t>
            </w:r>
            <w:r w:rsidR="00382338">
              <w:rPr>
                <w:rFonts w:asciiTheme="minorEastAsia" w:hAnsiTheme="minorEastAsia" w:cs="Gungsuh" w:hint="eastAsia"/>
                <w:sz w:val="20"/>
                <w:szCs w:val="20"/>
              </w:rPr>
              <w:t>老師</w:t>
            </w:r>
          </w:p>
        </w:tc>
      </w:tr>
      <w:tr w:rsidR="00AA1AF3" w14:paraId="14AE3110" w14:textId="77777777" w:rsidTr="00382338">
        <w:trPr>
          <w:trHeight w:val="16"/>
        </w:trPr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2AE60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核心素養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892A2" w14:textId="77777777" w:rsidR="00AA1AF3" w:rsidRPr="00382338" w:rsidRDefault="005A3281">
            <w:pPr>
              <w:spacing w:before="240" w:after="240" w:line="240" w:lineRule="auto"/>
              <w:ind w:left="140" w:right="140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數-J-A3 具備識別現實生活問題和數學的關聯的能力，</w:t>
            </w:r>
            <w:r w:rsidRPr="00382338">
              <w:rPr>
                <w:rFonts w:asciiTheme="minorEastAsia" w:hAnsiTheme="minorEastAsia" w:cs="Gungsuh"/>
                <w:strike/>
                <w:sz w:val="20"/>
                <w:szCs w:val="20"/>
              </w:rPr>
              <w:t>可從多元、彈性角度擬訂問題解決計畫，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並能將問題解答轉化於真實世界。</w:t>
            </w:r>
          </w:p>
        </w:tc>
      </w:tr>
      <w:tr w:rsidR="00AA1AF3" w14:paraId="6327FA71" w14:textId="77777777" w:rsidTr="00382338">
        <w:trPr>
          <w:trHeight w:val="485"/>
        </w:trPr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CEEFA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學習表現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8E78E" w14:textId="77777777" w:rsidR="00AA1AF3" w:rsidRPr="00382338" w:rsidRDefault="005A3281">
            <w:pPr>
              <w:spacing w:before="240" w:after="240" w:line="240" w:lineRule="auto"/>
              <w:ind w:left="140" w:right="140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 xml:space="preserve">n-IV-4 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理解比、比例式、正比、反比和連比的意義和推理，並能運用到日常生活的情境解決問題。</w:t>
            </w:r>
          </w:p>
        </w:tc>
      </w:tr>
      <w:tr w:rsidR="00AA1AF3" w14:paraId="51F67110" w14:textId="77777777" w:rsidTr="00382338"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FA250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學習內容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C281B2" w14:textId="77777777" w:rsidR="00AA1AF3" w:rsidRPr="00382338" w:rsidRDefault="005A3281">
            <w:pPr>
              <w:spacing w:before="240" w:after="240" w:line="240" w:lineRule="auto"/>
              <w:ind w:left="140" w:right="140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 xml:space="preserve">N-7-9 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比與比例式：比；比例式；正比；反比；相關之基本運算與應用問題，教學情境應以有意義之比值為例。</w:t>
            </w:r>
          </w:p>
        </w:tc>
      </w:tr>
      <w:tr w:rsidR="00AA1AF3" w14:paraId="5201A9F8" w14:textId="77777777" w:rsidTr="00382338">
        <w:trPr>
          <w:trHeight w:val="200"/>
        </w:trPr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C6620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試題出處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6C85E" w14:textId="77777777" w:rsidR="00AA1AF3" w:rsidRPr="00382338" w:rsidRDefault="005A3281">
            <w:pPr>
              <w:spacing w:line="240" w:lineRule="auto"/>
              <w:ind w:left="140" w:right="140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v 自編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ab/>
            </w: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>□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改編</w:t>
            </w:r>
            <w:proofErr w:type="gramStart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自</w:t>
            </w:r>
            <w:proofErr w:type="gramEnd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：</w:t>
            </w:r>
          </w:p>
        </w:tc>
      </w:tr>
      <w:tr w:rsidR="00AA1AF3" w14:paraId="68050C34" w14:textId="77777777" w:rsidTr="00382338">
        <w:tc>
          <w:tcPr>
            <w:tcW w:w="15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2778C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評量目標</w:t>
            </w:r>
          </w:p>
        </w:tc>
        <w:tc>
          <w:tcPr>
            <w:tcW w:w="74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0F148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利用比的概念解決日常生活的情境的問題。</w:t>
            </w:r>
          </w:p>
        </w:tc>
      </w:tr>
      <w:tr w:rsidR="00AA1AF3" w14:paraId="5F482FC5" w14:textId="77777777" w:rsidTr="00382338">
        <w:tc>
          <w:tcPr>
            <w:tcW w:w="901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217CF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試題內容</w:t>
            </w:r>
          </w:p>
        </w:tc>
      </w:tr>
      <w:tr w:rsidR="00AA1AF3" w14:paraId="2A554205" w14:textId="77777777" w:rsidTr="00382338"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D9505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題目名稱</w:t>
            </w:r>
          </w:p>
        </w:tc>
        <w:tc>
          <w:tcPr>
            <w:tcW w:w="754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AD5B4" w14:textId="77777777" w:rsidR="00AA1AF3" w:rsidRPr="00382338" w:rsidRDefault="005A3281">
            <w:pPr>
              <w:spacing w:line="240" w:lineRule="auto"/>
              <w:ind w:left="140" w:right="140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怎麼買最划算？</w:t>
            </w:r>
          </w:p>
        </w:tc>
      </w:tr>
      <w:tr w:rsidR="00AA1AF3" w14:paraId="602ECAB3" w14:textId="77777777" w:rsidTr="00382338"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27563" w14:textId="77777777" w:rsidR="00AA1AF3" w:rsidRPr="00382338" w:rsidRDefault="005A3281">
            <w:pPr>
              <w:spacing w:line="240" w:lineRule="auto"/>
              <w:ind w:left="140" w:right="140"/>
              <w:jc w:val="center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b/>
                <w:sz w:val="20"/>
                <w:szCs w:val="20"/>
              </w:rPr>
              <w:t>試題</w:t>
            </w:r>
          </w:p>
        </w:tc>
        <w:tc>
          <w:tcPr>
            <w:tcW w:w="754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E19F3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某個賣場的餅乾，有三種包裝方式，標價分別如下：</w:t>
            </w:r>
          </w:p>
          <w:p w14:paraId="586667F3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包裝</w:t>
            </w:r>
            <w:proofErr w:type="gramStart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一</w:t>
            </w:r>
            <w:proofErr w:type="gramEnd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：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1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100g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，售價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24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元。</w:t>
            </w:r>
          </w:p>
          <w:p w14:paraId="6BAECBF6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包裝二：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1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300g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，售價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69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元。</w:t>
            </w:r>
          </w:p>
          <w:p w14:paraId="2BD391C8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包裝</w:t>
            </w:r>
            <w:proofErr w:type="gramStart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三</w:t>
            </w:r>
            <w:proofErr w:type="gramEnd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：組合包中共有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4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小包，每包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125g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，售價</w:t>
            </w:r>
            <w:r w:rsidRPr="00382338">
              <w:rPr>
                <w:rFonts w:asciiTheme="minorEastAsia" w:hAnsiTheme="minorEastAsia"/>
                <w:sz w:val="20"/>
                <w:szCs w:val="20"/>
              </w:rPr>
              <w:t>110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元。</w:t>
            </w:r>
          </w:p>
          <w:p w14:paraId="6E8C7168" w14:textId="77777777" w:rsidR="00AA1AF3" w:rsidRPr="00382338" w:rsidRDefault="005A3281">
            <w:pPr>
              <w:spacing w:line="240" w:lineRule="auto"/>
              <w:ind w:left="140" w:right="14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382338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</w:p>
          <w:p w14:paraId="1CE79520" w14:textId="77777777" w:rsidR="00AA1AF3" w:rsidRPr="00382338" w:rsidRDefault="005A3281">
            <w:pPr>
              <w:spacing w:line="240" w:lineRule="auto"/>
              <w:ind w:left="860" w:right="140" w:hanging="36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/>
                <w:sz w:val="20"/>
                <w:szCs w:val="20"/>
              </w:rPr>
              <w:t>1.</w:t>
            </w: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ab/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請問哪一種包裝對消費者最划算？請說明你的理由。</w:t>
            </w:r>
          </w:p>
          <w:p w14:paraId="7B50A74A" w14:textId="77777777" w:rsidR="00AA1AF3" w:rsidRPr="00382338" w:rsidRDefault="005A3281">
            <w:pPr>
              <w:spacing w:line="240" w:lineRule="auto"/>
              <w:ind w:left="860" w:right="140" w:hanging="360"/>
              <w:jc w:val="both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382338">
              <w:rPr>
                <w:rFonts w:asciiTheme="minorEastAsia" w:hAnsiTheme="minorEastAsia"/>
                <w:sz w:val="20"/>
                <w:szCs w:val="20"/>
              </w:rPr>
              <w:t>2.</w:t>
            </w: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Pr="00382338">
              <w:rPr>
                <w:rFonts w:asciiTheme="minorEastAsia" w:hAnsiTheme="minorEastAsia" w:cs="Times New Roman"/>
                <w:sz w:val="20"/>
                <w:szCs w:val="20"/>
              </w:rPr>
              <w:tab/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今</w:t>
            </w:r>
            <w:r w:rsidRPr="00382338">
              <w:rPr>
                <w:rFonts w:asciiTheme="minorEastAsia" w:hAnsiTheme="minorEastAsia" w:cs="Gungsuh"/>
                <w:sz w:val="20"/>
                <w:szCs w:val="20"/>
                <w:u w:val="single"/>
              </w:rPr>
              <w:t>小美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買了包裝一、包裝二及包裝三</w:t>
            </w:r>
            <w:proofErr w:type="gramStart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各</w:t>
            </w:r>
            <w:proofErr w:type="gramEnd"/>
            <w:r w:rsidRPr="00382338">
              <w:rPr>
                <w:rFonts w:asciiTheme="minorEastAsia" w:hAnsiTheme="minorEastAsia"/>
                <w:sz w:val="20"/>
                <w:szCs w:val="20"/>
              </w:rPr>
              <w:t>1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份，</w:t>
            </w:r>
            <w:proofErr w:type="gramStart"/>
            <w:r w:rsidRPr="00382338">
              <w:rPr>
                <w:rFonts w:asciiTheme="minorEastAsia" w:hAnsiTheme="minorEastAsia" w:cs="Gungsuh"/>
                <w:sz w:val="20"/>
                <w:szCs w:val="20"/>
                <w:u w:val="single"/>
              </w:rPr>
              <w:t>小麗</w:t>
            </w:r>
            <w:r w:rsidRPr="00382338">
              <w:rPr>
                <w:rFonts w:asciiTheme="minorEastAsia" w:hAnsiTheme="minorEastAsia" w:cs="Gungsuh"/>
                <w:sz w:val="20"/>
                <w:szCs w:val="20"/>
              </w:rPr>
              <w:t>買了</w:t>
            </w:r>
            <w:proofErr w:type="gramEnd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包裝三</w:t>
            </w:r>
            <w:proofErr w:type="gramStart"/>
            <w:r w:rsidRPr="00382338">
              <w:rPr>
                <w:rFonts w:asciiTheme="minorEastAsia" w:hAnsiTheme="minorEastAsia"/>
                <w:sz w:val="20"/>
                <w:szCs w:val="20"/>
              </w:rPr>
              <w:t>2</w:t>
            </w:r>
            <w:proofErr w:type="gramEnd"/>
            <w:r w:rsidRPr="00382338">
              <w:rPr>
                <w:rFonts w:asciiTheme="minorEastAsia" w:hAnsiTheme="minorEastAsia" w:cs="Gungsuh"/>
                <w:sz w:val="20"/>
                <w:szCs w:val="20"/>
              </w:rPr>
              <w:t>份。請問哪一位的買法比較划算？請說明你的理由。</w:t>
            </w:r>
          </w:p>
        </w:tc>
      </w:tr>
    </w:tbl>
    <w:p w14:paraId="7E2328F0" w14:textId="77777777" w:rsidR="00AA1AF3" w:rsidRDefault="005A3281">
      <w:r>
        <w:br w:type="page"/>
      </w:r>
    </w:p>
    <w:p w14:paraId="25E67F51" w14:textId="77777777" w:rsidR="00AA1AF3" w:rsidRDefault="005A3281">
      <w:r>
        <w:rPr>
          <w:rFonts w:ascii="Arial Unicode MS" w:eastAsia="Arial Unicode MS" w:hAnsi="Arial Unicode MS" w:cs="Arial Unicode MS"/>
        </w:rPr>
        <w:lastRenderedPageBreak/>
        <w:t>第1題</w:t>
      </w:r>
    </w:p>
    <w:p w14:paraId="16AF1148" w14:textId="77777777" w:rsidR="00AA1AF3" w:rsidRDefault="005A3281">
      <w:r>
        <w:rPr>
          <w:rFonts w:ascii="Arial Unicode MS" w:eastAsia="Arial Unicode MS" w:hAnsi="Arial Unicode MS" w:cs="Arial Unicode MS"/>
        </w:rPr>
        <w:t>解法</w:t>
      </w:r>
      <w:proofErr w:type="gramStart"/>
      <w:r>
        <w:rPr>
          <w:rFonts w:ascii="Arial Unicode MS" w:eastAsia="Arial Unicode MS" w:hAnsi="Arial Unicode MS" w:cs="Arial Unicode MS"/>
        </w:rPr>
        <w:t>一</w:t>
      </w:r>
      <w:proofErr w:type="gramEnd"/>
      <w:r>
        <w:rPr>
          <w:rFonts w:ascii="Arial Unicode MS" w:eastAsia="Arial Unicode MS" w:hAnsi="Arial Unicode MS" w:cs="Arial Unicode MS"/>
        </w:rPr>
        <w:t>：以重量(9000g、100g、1g)為單位或以價格(1元)為單位，(1)三個一起比(2)兩兩比較</w:t>
      </w:r>
    </w:p>
    <w:p w14:paraId="5536BC3D" w14:textId="77777777" w:rsidR="00AA1AF3" w:rsidRDefault="00AA1AF3"/>
    <w:p w14:paraId="2FE05C22" w14:textId="77777777" w:rsidR="00AA1AF3" w:rsidRDefault="005A3281">
      <w:r>
        <w:rPr>
          <w:rFonts w:ascii="Arial Unicode MS" w:eastAsia="Arial Unicode MS" w:hAnsi="Arial Unicode MS" w:cs="Arial Unicode MS"/>
        </w:rPr>
        <w:t>第2題</w:t>
      </w:r>
    </w:p>
    <w:p w14:paraId="4D3B5460" w14:textId="77777777" w:rsidR="00AA1AF3" w:rsidRDefault="005A3281">
      <w:r>
        <w:rPr>
          <w:rFonts w:ascii="Arial Unicode MS" w:eastAsia="Arial Unicode MS" w:hAnsi="Arial Unicode MS" w:cs="Arial Unicode MS"/>
        </w:rPr>
        <w:t>解法</w:t>
      </w:r>
      <w:proofErr w:type="gramStart"/>
      <w:r>
        <w:rPr>
          <w:rFonts w:ascii="Arial Unicode MS" w:eastAsia="Arial Unicode MS" w:hAnsi="Arial Unicode MS" w:cs="Arial Unicode MS"/>
        </w:rPr>
        <w:t>一</w:t>
      </w:r>
      <w:proofErr w:type="gramEnd"/>
      <w:r>
        <w:rPr>
          <w:rFonts w:ascii="Arial Unicode MS" w:eastAsia="Arial Unicode MS" w:hAnsi="Arial Unicode MS" w:cs="Arial Unicode MS"/>
        </w:rPr>
        <w:t>：討論單位重量的單價，並比較大小判斷哪一種方案比較划算。</w:t>
      </w:r>
    </w:p>
    <w:p w14:paraId="7820C069" w14:textId="77777777" w:rsidR="00AA1AF3" w:rsidRDefault="005A3281">
      <w:r>
        <w:rPr>
          <w:rFonts w:ascii="Arial Unicode MS" w:eastAsia="Arial Unicode MS" w:hAnsi="Arial Unicode MS" w:cs="Arial Unicode MS"/>
        </w:rPr>
        <w:t>解法二：將總重量的差(100g)與單一包裝(24元/100g)的價格比較，並判斷哪一種方案比較划算。</w:t>
      </w:r>
    </w:p>
    <w:p w14:paraId="1B827EAC" w14:textId="77777777" w:rsidR="00AA1AF3" w:rsidRDefault="00AA1AF3"/>
    <w:p w14:paraId="78425024" w14:textId="77777777" w:rsidR="00AA1AF3" w:rsidRDefault="00AA1AF3"/>
    <w:p w14:paraId="2309761B" w14:textId="77777777" w:rsidR="005A3281" w:rsidRDefault="005A3281">
      <w:r>
        <w:rPr>
          <w:rFonts w:hint="eastAsia"/>
        </w:rPr>
        <w:t>討論後回饋</w:t>
      </w:r>
    </w:p>
    <w:p w14:paraId="3D04BB8E" w14:textId="77777777" w:rsidR="005A3281" w:rsidRDefault="005A3281"/>
    <w:p w14:paraId="799C16F1" w14:textId="77777777" w:rsidR="005A3281" w:rsidRDefault="005A3281" w:rsidP="005A3281">
      <w:r>
        <w:rPr>
          <w:rFonts w:ascii="Arial Unicode MS" w:eastAsia="Arial Unicode MS" w:hAnsi="Arial Unicode MS" w:cs="Arial Unicode MS"/>
        </w:rPr>
        <w:t>第1題</w:t>
      </w:r>
    </w:p>
    <w:p w14:paraId="74290C04" w14:textId="77777777" w:rsidR="005A3281" w:rsidRDefault="005A3281" w:rsidP="005A3281">
      <w:r>
        <w:rPr>
          <w:rFonts w:ascii="Arial Unicode MS" w:eastAsia="Arial Unicode MS" w:hAnsi="Arial Unicode MS" w:cs="Arial Unicode MS"/>
        </w:rPr>
        <w:t>解法</w:t>
      </w:r>
      <w:proofErr w:type="gramStart"/>
      <w:r>
        <w:rPr>
          <w:rFonts w:ascii="Arial Unicode MS" w:eastAsia="Arial Unicode MS" w:hAnsi="Arial Unicode MS" w:cs="Arial Unicode MS"/>
        </w:rPr>
        <w:t>一</w:t>
      </w:r>
      <w:proofErr w:type="gramEnd"/>
      <w:r>
        <w:rPr>
          <w:rFonts w:ascii="Arial Unicode MS" w:eastAsia="Arial Unicode MS" w:hAnsi="Arial Unicode MS" w:cs="Arial Unicode MS"/>
        </w:rPr>
        <w:t>：以重量(9000g、100g、1g)為單位或以價格(1元)為單位，(1)三個一起比(2)兩兩比較</w:t>
      </w:r>
    </w:p>
    <w:p w14:paraId="65BEE804" w14:textId="77777777" w:rsidR="005A3281" w:rsidRDefault="005A3281" w:rsidP="005A3281"/>
    <w:p w14:paraId="67D7D750" w14:textId="77777777" w:rsidR="005A3281" w:rsidRDefault="005A3281" w:rsidP="005A3281">
      <w:r>
        <w:rPr>
          <w:rFonts w:ascii="Arial Unicode MS" w:eastAsia="Arial Unicode MS" w:hAnsi="Arial Unicode MS" w:cs="Arial Unicode MS"/>
        </w:rPr>
        <w:t>第2題</w:t>
      </w:r>
    </w:p>
    <w:p w14:paraId="5E6C0D8C" w14:textId="77777777" w:rsidR="005A3281" w:rsidRDefault="005A3281" w:rsidP="005A3281">
      <w:r>
        <w:rPr>
          <w:rFonts w:ascii="Arial Unicode MS" w:eastAsia="Arial Unicode MS" w:hAnsi="Arial Unicode MS" w:cs="Arial Unicode MS"/>
        </w:rPr>
        <w:t>解法</w:t>
      </w:r>
      <w:proofErr w:type="gramStart"/>
      <w:r>
        <w:rPr>
          <w:rFonts w:ascii="Arial Unicode MS" w:eastAsia="Arial Unicode MS" w:hAnsi="Arial Unicode MS" w:cs="Arial Unicode MS"/>
        </w:rPr>
        <w:t>一</w:t>
      </w:r>
      <w:proofErr w:type="gramEnd"/>
      <w:r>
        <w:rPr>
          <w:rFonts w:ascii="Arial Unicode MS" w:eastAsia="Arial Unicode MS" w:hAnsi="Arial Unicode MS" w:cs="Arial Unicode MS"/>
        </w:rPr>
        <w:t>：討論單位重量的單價，並比較大小判斷哪一種方案比較划算。</w:t>
      </w:r>
    </w:p>
    <w:p w14:paraId="7250ACDE" w14:textId="77777777" w:rsidR="005A3281" w:rsidRDefault="005A3281" w:rsidP="005A3281">
      <w:r>
        <w:rPr>
          <w:rFonts w:ascii="Arial Unicode MS" w:eastAsia="Arial Unicode MS" w:hAnsi="Arial Unicode MS" w:cs="Arial Unicode MS"/>
        </w:rPr>
        <w:t>解法二：將總重量的差(100g)與單一包裝(24元/100g)的價格比較，並判斷哪一種方案比較划算。</w:t>
      </w:r>
    </w:p>
    <w:p w14:paraId="1C04A7E7" w14:textId="77777777" w:rsidR="005A3281" w:rsidRDefault="005A3281" w:rsidP="005A3281"/>
    <w:p w14:paraId="79AA0814" w14:textId="77777777" w:rsidR="005A3281" w:rsidRDefault="005A3281" w:rsidP="005A3281"/>
    <w:p w14:paraId="0B04EC31" w14:textId="77777777" w:rsidR="005A3281" w:rsidRDefault="005A3281" w:rsidP="005A3281">
      <w:r>
        <w:rPr>
          <w:rFonts w:ascii="Arial Unicode MS" w:eastAsia="Arial Unicode MS" w:hAnsi="Arial Unicode MS" w:cs="Arial Unicode MS"/>
        </w:rPr>
        <w:t>(1)四捨五入之後不影響結論</w:t>
      </w:r>
    </w:p>
    <w:p w14:paraId="56E5D044" w14:textId="77777777" w:rsidR="005A3281" w:rsidRDefault="005A3281" w:rsidP="005A3281">
      <w:r>
        <w:rPr>
          <w:rFonts w:ascii="Arial Unicode MS" w:eastAsia="Arial Unicode MS" w:hAnsi="Arial Unicode MS" w:cs="Arial Unicode MS"/>
        </w:rPr>
        <w:t>(2)小數位取得不夠(無條件捨去)無法比較大小，影響結論</w:t>
      </w:r>
    </w:p>
    <w:p w14:paraId="4973B0F2" w14:textId="77777777" w:rsidR="005A3281" w:rsidRDefault="005A3281" w:rsidP="005A3281"/>
    <w:p w14:paraId="7658117F" w14:textId="77777777" w:rsidR="005A3281" w:rsidRDefault="005A3281" w:rsidP="005A3281">
      <w:r>
        <w:rPr>
          <w:rFonts w:ascii="Arial Unicode MS" w:eastAsia="Arial Unicode MS" w:hAnsi="Arial Unicode MS" w:cs="Arial Unicode MS"/>
        </w:rPr>
        <w:t>困難</w:t>
      </w:r>
    </w:p>
    <w:p w14:paraId="2BA43052" w14:textId="77777777" w:rsidR="005A3281" w:rsidRDefault="005A3281" w:rsidP="005A3281">
      <w:r>
        <w:rPr>
          <w:rFonts w:ascii="Arial Unicode MS" w:eastAsia="Arial Unicode MS" w:hAnsi="Arial Unicode MS" w:cs="Arial Unicode MS"/>
        </w:rPr>
        <w:t>(1)無法計算單位重量價格</w:t>
      </w:r>
    </w:p>
    <w:p w14:paraId="54DE84F1" w14:textId="77777777" w:rsidR="005A3281" w:rsidRDefault="005A3281" w:rsidP="005A3281">
      <w:r>
        <w:rPr>
          <w:rFonts w:ascii="Arial Unicode MS" w:eastAsia="Arial Unicode MS" w:hAnsi="Arial Unicode MS" w:cs="Arial Unicode MS"/>
        </w:rPr>
        <w:t>(2)三項一起比較的時候，沒有統一基準</w:t>
      </w:r>
    </w:p>
    <w:p w14:paraId="779EF281" w14:textId="77777777" w:rsidR="005A3281" w:rsidRDefault="005A3281" w:rsidP="005A3281">
      <w:r>
        <w:rPr>
          <w:rFonts w:ascii="Arial Unicode MS" w:eastAsia="Arial Unicode MS" w:hAnsi="Arial Unicode MS" w:cs="Arial Unicode MS"/>
        </w:rPr>
        <w:t>(3)算出單位重量價格後，可以正確判斷</w:t>
      </w:r>
      <w:proofErr w:type="gramStart"/>
      <w:r>
        <w:rPr>
          <w:rFonts w:ascii="Arial Unicode MS" w:eastAsia="Arial Unicode MS" w:hAnsi="Arial Unicode MS" w:cs="Arial Unicode MS"/>
        </w:rPr>
        <w:t>第1小題</w:t>
      </w:r>
      <w:proofErr w:type="gramEnd"/>
      <w:r>
        <w:rPr>
          <w:rFonts w:ascii="Arial Unicode MS" w:eastAsia="Arial Unicode MS" w:hAnsi="Arial Unicode MS" w:cs="Arial Unicode MS"/>
        </w:rPr>
        <w:t>，但無法轉換成</w:t>
      </w:r>
      <w:proofErr w:type="gramStart"/>
      <w:r>
        <w:rPr>
          <w:rFonts w:ascii="Arial Unicode MS" w:eastAsia="Arial Unicode MS" w:hAnsi="Arial Unicode MS" w:cs="Arial Unicode MS"/>
        </w:rPr>
        <w:t>第2小題採買</w:t>
      </w:r>
      <w:proofErr w:type="gramEnd"/>
      <w:r>
        <w:rPr>
          <w:rFonts w:ascii="Arial Unicode MS" w:eastAsia="Arial Unicode MS" w:hAnsi="Arial Unicode MS" w:cs="Arial Unicode MS"/>
        </w:rPr>
        <w:t>方式對應的金額</w:t>
      </w:r>
    </w:p>
    <w:p w14:paraId="27CA40B7" w14:textId="77777777" w:rsidR="005A3281" w:rsidRDefault="005A3281" w:rsidP="005A3281"/>
    <w:p w14:paraId="15217E15" w14:textId="77777777" w:rsidR="005A3281" w:rsidRDefault="005A3281" w:rsidP="005A3281">
      <w:r>
        <w:rPr>
          <w:rFonts w:ascii="Arial Unicode MS" w:eastAsia="Arial Unicode MS" w:hAnsi="Arial Unicode MS" w:cs="Arial Unicode MS"/>
        </w:rPr>
        <w:t>(4)以價格(1元)為單位比較時，無法正確比較出結果</w:t>
      </w:r>
    </w:p>
    <w:p w14:paraId="40EE97B0" w14:textId="77777777" w:rsidR="005A3281" w:rsidRDefault="005A3281" w:rsidP="005A3281">
      <w:r>
        <w:rPr>
          <w:rFonts w:ascii="Arial Unicode MS" w:eastAsia="Arial Unicode MS" w:hAnsi="Arial Unicode MS" w:cs="Arial Unicode MS"/>
        </w:rPr>
        <w:t>(5)學生有跡可循，解題的動機高，但難以用數學語言解釋</w:t>
      </w:r>
    </w:p>
    <w:p w14:paraId="1C3E0D49" w14:textId="77777777" w:rsidR="005A3281" w:rsidRDefault="005A3281" w:rsidP="005A3281"/>
    <w:p w14:paraId="139074E7" w14:textId="77777777" w:rsidR="005A3281" w:rsidRDefault="005A3281"/>
    <w:p w14:paraId="27E16B0E" w14:textId="77777777" w:rsidR="00AA1AF3" w:rsidRDefault="005A3281">
      <w:r>
        <w:rPr>
          <w:noProof/>
        </w:rPr>
        <w:lastRenderedPageBreak/>
        <w:drawing>
          <wp:inline distT="114300" distB="114300" distL="114300" distR="114300" wp14:anchorId="37B9A31D" wp14:editId="67B362C7">
            <wp:extent cx="4267200" cy="417195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7E164ED" wp14:editId="4CE9C2DF">
            <wp:extent cx="4257675" cy="520065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20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EE5B8A2" wp14:editId="0DE8ED9B">
            <wp:extent cx="3743325" cy="439102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39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4C737" w14:textId="77777777" w:rsidR="00AA1AF3" w:rsidRDefault="005A3281">
      <w:r>
        <w:rPr>
          <w:noProof/>
        </w:rPr>
        <w:lastRenderedPageBreak/>
        <w:drawing>
          <wp:inline distT="114300" distB="114300" distL="114300" distR="114300" wp14:anchorId="3BF0031D" wp14:editId="01B44508">
            <wp:extent cx="4276725" cy="42672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BC9010B" wp14:editId="693A0B97">
            <wp:extent cx="4191000" cy="27336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B3544" w14:textId="77777777" w:rsidR="00AA1AF3" w:rsidRDefault="00AA1AF3"/>
    <w:p w14:paraId="78673297" w14:textId="77777777" w:rsidR="00AA1AF3" w:rsidRDefault="00AA1AF3"/>
    <w:p w14:paraId="2A0CB03C" w14:textId="77777777" w:rsidR="00AA1AF3" w:rsidRDefault="00AA1AF3"/>
    <w:p w14:paraId="43D1BE7F" w14:textId="77777777" w:rsidR="00AA1AF3" w:rsidRDefault="00AA1AF3"/>
    <w:p w14:paraId="6085D9AA" w14:textId="77777777" w:rsidR="00AA1AF3" w:rsidRDefault="00AA1AF3"/>
    <w:p w14:paraId="09FC2C32" w14:textId="77777777" w:rsidR="00AA1AF3" w:rsidRDefault="00AA1AF3"/>
    <w:p w14:paraId="2A38410C" w14:textId="77777777" w:rsidR="00AA1AF3" w:rsidRDefault="00AA1AF3"/>
    <w:p w14:paraId="4B243CC1" w14:textId="77777777" w:rsidR="00AA1AF3" w:rsidRDefault="00AA1AF3"/>
    <w:p w14:paraId="483B9852" w14:textId="77777777" w:rsidR="00AA1AF3" w:rsidRDefault="00AA1AF3"/>
    <w:p w14:paraId="314F6452" w14:textId="77777777" w:rsidR="00AA1AF3" w:rsidRDefault="00AA1AF3"/>
    <w:p w14:paraId="4DC87228" w14:textId="77777777" w:rsidR="00AA1AF3" w:rsidRDefault="00AA1AF3"/>
    <w:p w14:paraId="1DD0569A" w14:textId="77777777" w:rsidR="00AA1AF3" w:rsidRDefault="005A3281">
      <w:r>
        <w:rPr>
          <w:noProof/>
        </w:rPr>
        <w:drawing>
          <wp:inline distT="114300" distB="114300" distL="114300" distR="114300" wp14:anchorId="72DB95B7" wp14:editId="6D0B82F7">
            <wp:extent cx="5731200" cy="32258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72544" w14:textId="77777777" w:rsidR="00AA1AF3" w:rsidRDefault="00AA1AF3"/>
    <w:p w14:paraId="2D7D7AF2" w14:textId="77777777" w:rsidR="00AA1AF3" w:rsidRDefault="005A3281">
      <w:r>
        <w:rPr>
          <w:noProof/>
        </w:rPr>
        <w:drawing>
          <wp:inline distT="114300" distB="114300" distL="114300" distR="114300" wp14:anchorId="6DAC36BD" wp14:editId="02BCD7FE">
            <wp:extent cx="5731200" cy="32258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25634" w14:textId="77777777" w:rsidR="00AA1AF3" w:rsidRDefault="00AA1AF3"/>
    <w:p w14:paraId="2311DCE3" w14:textId="77777777" w:rsidR="00AA1AF3" w:rsidRDefault="005A3281">
      <w:r>
        <w:rPr>
          <w:noProof/>
        </w:rPr>
        <w:lastRenderedPageBreak/>
        <w:drawing>
          <wp:inline distT="114300" distB="114300" distL="114300" distR="114300" wp14:anchorId="21B6CAF8" wp14:editId="7C955F90">
            <wp:extent cx="5731200" cy="3225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3BBB0" w14:textId="77777777" w:rsidR="00AA1AF3" w:rsidRDefault="00AA1AF3"/>
    <w:p w14:paraId="4A545D3A" w14:textId="77777777" w:rsidR="00AA1AF3" w:rsidRDefault="00AA1AF3"/>
    <w:p w14:paraId="21895184" w14:textId="77777777" w:rsidR="00AA1AF3" w:rsidRDefault="005A3281">
      <w:r>
        <w:rPr>
          <w:noProof/>
        </w:rPr>
        <w:drawing>
          <wp:inline distT="114300" distB="114300" distL="114300" distR="114300" wp14:anchorId="0980157F" wp14:editId="11C5581F">
            <wp:extent cx="5731200" cy="32258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8E775" w14:textId="77777777" w:rsidR="00AA1AF3" w:rsidRDefault="005A3281">
      <w:r>
        <w:rPr>
          <w:noProof/>
        </w:rPr>
        <w:lastRenderedPageBreak/>
        <w:drawing>
          <wp:inline distT="114300" distB="114300" distL="114300" distR="114300" wp14:anchorId="5AD24C77" wp14:editId="50CC5BB4">
            <wp:extent cx="5731200" cy="32258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A43750" w14:textId="77777777" w:rsidR="00AA1AF3" w:rsidRDefault="00AA1AF3"/>
    <w:p w14:paraId="72EAE0A9" w14:textId="77777777" w:rsidR="00AA1AF3" w:rsidRDefault="00AA1AF3"/>
    <w:sectPr w:rsidR="00AA1A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AF3"/>
    <w:rsid w:val="00382338"/>
    <w:rsid w:val="005A3281"/>
    <w:rsid w:val="00AA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59BBD"/>
  <w15:docId w15:val="{B150417F-7412-42E4-9C8B-83D4D7DA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使用者</cp:lastModifiedBy>
  <cp:revision>3</cp:revision>
  <dcterms:created xsi:type="dcterms:W3CDTF">2022-08-02T01:04:00Z</dcterms:created>
  <dcterms:modified xsi:type="dcterms:W3CDTF">2022-08-02T09:43:00Z</dcterms:modified>
</cp:coreProperties>
</file>