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F5" w:rsidRPr="00435A3D" w:rsidRDefault="007F2CF5" w:rsidP="007F2CF5">
      <w:pPr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台南市</w:t>
      </w:r>
      <w:r w:rsidRPr="00435A3D">
        <w:rPr>
          <w:rFonts w:eastAsia="標楷體"/>
          <w:sz w:val="24"/>
          <w:szCs w:val="24"/>
          <w:lang w:eastAsia="zh-TW"/>
        </w:rPr>
        <w:t>10</w:t>
      </w:r>
      <w:r>
        <w:rPr>
          <w:rFonts w:eastAsia="標楷體" w:hint="eastAsia"/>
          <w:sz w:val="24"/>
          <w:szCs w:val="24"/>
          <w:lang w:eastAsia="zh-TW"/>
        </w:rPr>
        <w:t>8</w:t>
      </w:r>
      <w:proofErr w:type="gramStart"/>
      <w:r w:rsidRPr="00435A3D">
        <w:rPr>
          <w:rFonts w:eastAsia="標楷體" w:hint="eastAsia"/>
          <w:sz w:val="24"/>
          <w:szCs w:val="24"/>
          <w:lang w:eastAsia="zh-TW"/>
        </w:rPr>
        <w:t>學年度精進</w:t>
      </w:r>
      <w:proofErr w:type="gramEnd"/>
      <w:r w:rsidRPr="00435A3D">
        <w:rPr>
          <w:rFonts w:eastAsia="標楷體"/>
          <w:sz w:val="24"/>
          <w:szCs w:val="24"/>
          <w:lang w:eastAsia="zh-TW"/>
        </w:rPr>
        <w:t>國民</w:t>
      </w:r>
      <w:r w:rsidRPr="00435A3D">
        <w:rPr>
          <w:rFonts w:eastAsia="標楷體" w:hint="eastAsia"/>
          <w:sz w:val="24"/>
          <w:szCs w:val="24"/>
          <w:lang w:eastAsia="zh-TW"/>
        </w:rPr>
        <w:t>中小學教師教學專業與課程品質整體推動計畫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 w:rsidRPr="00435A3D">
        <w:rPr>
          <w:rFonts w:eastAsia="標楷體" w:hint="eastAsia"/>
          <w:sz w:val="24"/>
          <w:szCs w:val="24"/>
          <w:shd w:val="clear" w:color="auto" w:fill="F2F2F2"/>
          <w:lang w:eastAsia="zh-TW"/>
        </w:rPr>
        <w:t>國民教育輔導團</w:t>
      </w:r>
      <w:r>
        <w:rPr>
          <w:rFonts w:eastAsia="標楷體" w:hint="eastAsia"/>
          <w:sz w:val="24"/>
          <w:szCs w:val="24"/>
          <w:shd w:val="clear" w:color="auto" w:fill="F2F2F2"/>
          <w:lang w:eastAsia="zh-TW"/>
        </w:rPr>
        <w:t>性別平等教育</w:t>
      </w:r>
      <w:r w:rsidRPr="00435A3D">
        <w:rPr>
          <w:rFonts w:eastAsia="標楷體" w:hint="eastAsia"/>
          <w:sz w:val="24"/>
          <w:szCs w:val="24"/>
          <w:shd w:val="clear" w:color="auto" w:fill="F2F2F2"/>
          <w:lang w:eastAsia="zh-TW"/>
        </w:rPr>
        <w:t>議題輔導小組</w:t>
      </w:r>
    </w:p>
    <w:p w:rsidR="007F2CF5" w:rsidRPr="00435A3D" w:rsidRDefault="007F2CF5" w:rsidP="007F2CF5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 w:rsidRPr="00A5252F">
        <w:rPr>
          <w:rFonts w:ascii="標楷體" w:eastAsia="標楷體" w:hAnsi="標楷體" w:hint="eastAsia"/>
          <w:kern w:val="2"/>
          <w:sz w:val="24"/>
          <w:lang w:eastAsia="zh-TW"/>
        </w:rPr>
        <w:t>素養</w:t>
      </w:r>
      <w:r>
        <w:rPr>
          <w:rFonts w:ascii="標楷體" w:eastAsia="標楷體" w:hAnsi="標楷體" w:hint="eastAsia"/>
          <w:kern w:val="2"/>
          <w:sz w:val="24"/>
          <w:lang w:eastAsia="zh-TW"/>
        </w:rPr>
        <w:t>導向性平教學轉化工作坊</w:t>
      </w:r>
      <w:r w:rsidRPr="00435A3D">
        <w:rPr>
          <w:rFonts w:eastAsia="標楷體"/>
          <w:sz w:val="24"/>
          <w:szCs w:val="24"/>
          <w:lang w:eastAsia="zh-TW"/>
        </w:rPr>
        <w:t>實施計畫</w:t>
      </w:r>
    </w:p>
    <w:p w:rsidR="007F2CF5" w:rsidRPr="00435A3D" w:rsidRDefault="007F2CF5" w:rsidP="007F2CF5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一、依據</w:t>
      </w:r>
    </w:p>
    <w:p w:rsidR="007F2CF5" w:rsidRPr="00435A3D" w:rsidRDefault="007F2CF5" w:rsidP="007F2CF5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（一）教育部補助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直轄市、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縣(市)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政府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精進國民中學及國民小學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作業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要點。</w:t>
      </w:r>
    </w:p>
    <w:p w:rsidR="007F2CF5" w:rsidRPr="00435A3D" w:rsidRDefault="007F2CF5" w:rsidP="007F2CF5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（二）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台南市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1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08</w:t>
      </w:r>
      <w:proofErr w:type="gramStart"/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年度精進</w:t>
      </w:r>
      <w:proofErr w:type="gramEnd"/>
      <w:r w:rsidRPr="00435A3D">
        <w:rPr>
          <w:rFonts w:ascii="標楷體" w:eastAsia="標楷體" w:hAnsi="標楷體"/>
          <w:sz w:val="24"/>
          <w:szCs w:val="24"/>
          <w:lang w:eastAsia="zh-TW"/>
        </w:rPr>
        <w:t>國民中小學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整體推動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:rsidR="007F2CF5" w:rsidRPr="00435A3D" w:rsidRDefault="007F2CF5" w:rsidP="007F2CF5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（三）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台南市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10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年度國民教育輔導團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整體團</w:t>
      </w:r>
      <w:proofErr w:type="gramStart"/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435A3D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:rsidR="007F2CF5" w:rsidRPr="00435A3D" w:rsidRDefault="007F2CF5" w:rsidP="007F2CF5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（四）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台南市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10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年度國民教育輔導團</w:t>
      </w:r>
      <w:r>
        <w:rPr>
          <w:rFonts w:eastAsia="標楷體" w:hint="eastAsia"/>
          <w:sz w:val="24"/>
          <w:szCs w:val="24"/>
          <w:shd w:val="clear" w:color="auto" w:fill="F2F2F2"/>
          <w:lang w:eastAsia="zh-TW"/>
        </w:rPr>
        <w:t>性別平等教育</w:t>
      </w:r>
      <w:r w:rsidRPr="00435A3D">
        <w:rPr>
          <w:rFonts w:eastAsia="標楷體" w:hint="eastAsia"/>
          <w:sz w:val="24"/>
          <w:szCs w:val="24"/>
          <w:shd w:val="clear" w:color="auto" w:fill="F2F2F2"/>
          <w:lang w:eastAsia="zh-TW"/>
        </w:rPr>
        <w:t>議題輔導小組</w:t>
      </w:r>
      <w:r>
        <w:rPr>
          <w:rFonts w:eastAsia="標楷體" w:hint="eastAsia"/>
          <w:sz w:val="24"/>
          <w:szCs w:val="24"/>
          <w:shd w:val="clear" w:color="auto" w:fill="F2F2F2"/>
          <w:lang w:eastAsia="zh-TW"/>
        </w:rPr>
        <w:t>工作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目的</w:t>
      </w:r>
    </w:p>
    <w:p w:rsidR="007F2CF5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（一）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教師認識及瞭解十二年國民基本教育性平議題實質內涵及學習主題。</w:t>
      </w:r>
    </w:p>
    <w:p w:rsidR="007F2CF5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(二) 教師能充分掌握性平實質內涵將性平議題轉化融入領域課程，建構知識的橫向整合。</w:t>
      </w:r>
    </w:p>
    <w:p w:rsidR="007F2CF5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(三) 教師能設計性平議題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主題式或融入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式課程，發展有效教學策略及改善教師評量方式。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(四) 性平輔導團員協助彙整成果上傳網站(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含性平團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網站、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飛番雲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、CIRN)，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擴增性平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資源。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三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、辦理單位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（一）指導單位：教育部國民及學前教育署</w:t>
      </w:r>
    </w:p>
    <w:p w:rsidR="007F2CF5" w:rsidRPr="001C0E83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1C0E83"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（二）主辦單位：</w:t>
      </w:r>
      <w:proofErr w:type="gramStart"/>
      <w:r w:rsidRPr="001C0E83"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臺</w:t>
      </w:r>
      <w:proofErr w:type="gramEnd"/>
      <w:r w:rsidRPr="001C0E83"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南市政府教育局</w:t>
      </w:r>
    </w:p>
    <w:p w:rsidR="007F2CF5" w:rsidRPr="001C0E83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1C0E83"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（三）承辦單位：</w:t>
      </w:r>
      <w:proofErr w:type="gramStart"/>
      <w:r w:rsidRPr="001C0E83"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臺</w:t>
      </w:r>
      <w:proofErr w:type="gramEnd"/>
      <w:r w:rsidRPr="001C0E83"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南市性別平等教育議題輔導團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四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、辦理日期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：108</w:t>
      </w:r>
      <w:r>
        <w:rPr>
          <w:rFonts w:ascii="標楷體" w:eastAsia="標楷體" w:hAnsi="標楷體"/>
          <w:sz w:val="24"/>
          <w:szCs w:val="24"/>
          <w:lang w:eastAsia="zh-TW"/>
        </w:rPr>
        <w:t>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>
        <w:rPr>
          <w:rFonts w:ascii="標楷體" w:eastAsia="標楷體" w:hAnsi="標楷體"/>
          <w:sz w:val="24"/>
          <w:szCs w:val="24"/>
          <w:lang w:eastAsia="zh-TW"/>
        </w:rPr>
        <w:t>1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月07日(四)6小時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五、辦理地點：新化國中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六、參加對象與人數</w:t>
      </w:r>
      <w:r>
        <w:rPr>
          <w:rFonts w:ascii="標楷體" w:eastAsia="標楷體" w:hAnsi="標楷體"/>
          <w:sz w:val="24"/>
          <w:szCs w:val="24"/>
          <w:lang w:eastAsia="zh-TW"/>
        </w:rPr>
        <w:t>：</w:t>
      </w:r>
      <w:r w:rsidR="000D5A23">
        <w:rPr>
          <w:rFonts w:ascii="標楷體" w:eastAsia="標楷體" w:hAnsi="標楷體" w:hint="eastAsia"/>
          <w:sz w:val="24"/>
          <w:szCs w:val="24"/>
          <w:lang w:eastAsia="zh-TW"/>
        </w:rPr>
        <w:t>本市性平團團員</w:t>
      </w:r>
      <w:r w:rsidR="000D5A23">
        <w:rPr>
          <w:rFonts w:ascii="新細明體" w:hAnsi="新細明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全市</w:t>
      </w:r>
      <w:r>
        <w:rPr>
          <w:rFonts w:ascii="標楷體" w:eastAsia="標楷體" w:hAnsi="標楷體"/>
          <w:sz w:val="24"/>
          <w:szCs w:val="24"/>
          <w:lang w:eastAsia="zh-TW"/>
        </w:rPr>
        <w:t>國中小教師</w:t>
      </w:r>
      <w:r w:rsidR="00460B34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460B34" w:rsidRPr="00460B34">
        <w:rPr>
          <w:rFonts w:ascii="標楷體" w:eastAsia="標楷體" w:hAnsi="標楷體" w:hint="eastAsia"/>
          <w:sz w:val="24"/>
          <w:szCs w:val="24"/>
          <w:lang w:eastAsia="zh-TW"/>
        </w:rPr>
        <w:t>12班以上薦派1名</w:t>
      </w:r>
      <w:r w:rsidR="00460B34">
        <w:rPr>
          <w:rFonts w:ascii="新細明體" w:hAnsi="新細明體" w:hint="eastAsia"/>
          <w:sz w:val="24"/>
          <w:szCs w:val="24"/>
          <w:lang w:eastAsia="zh-TW"/>
        </w:rPr>
        <w:t>，</w:t>
      </w:r>
      <w:r w:rsidR="00460B34" w:rsidRPr="00460B34">
        <w:rPr>
          <w:rFonts w:ascii="標楷體" w:eastAsia="標楷體" w:hAnsi="標楷體" w:hint="eastAsia"/>
          <w:sz w:val="24"/>
          <w:szCs w:val="24"/>
          <w:lang w:eastAsia="zh-TW"/>
        </w:rPr>
        <w:t>12班以下鼓勵參加</w:t>
      </w:r>
      <w:r w:rsidR="00460B34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bookmarkStart w:id="0" w:name="_GoBack"/>
      <w:bookmarkEnd w:id="0"/>
      <w:r>
        <w:rPr>
          <w:rFonts w:ascii="標楷體" w:eastAsia="標楷體" w:hAnsi="標楷體" w:hint="eastAsia"/>
          <w:sz w:val="24"/>
          <w:szCs w:val="24"/>
          <w:lang w:eastAsia="zh-TW"/>
        </w:rPr>
        <w:t>約80人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七、研習內容</w:t>
      </w:r>
    </w:p>
    <w:p w:rsidR="007F2CF5" w:rsidRPr="00FC213A" w:rsidRDefault="007F2CF5" w:rsidP="007F2CF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FC213A">
        <w:rPr>
          <w:rFonts w:ascii="標楷體" w:eastAsia="標楷體" w:hAnsi="標楷體" w:hint="eastAsia"/>
          <w:sz w:val="24"/>
          <w:szCs w:val="24"/>
          <w:lang w:eastAsia="zh-TW"/>
        </w:rPr>
        <w:t>剖析性平議題核心素養、實質內涵及學習主題。</w:t>
      </w:r>
    </w:p>
    <w:p w:rsidR="007F2CF5" w:rsidRDefault="007F2CF5" w:rsidP="007F2CF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透過示例分享說明性平議題轉化融入領域課程。</w:t>
      </w:r>
    </w:p>
    <w:p w:rsidR="007F2CF5" w:rsidRDefault="007F2CF5" w:rsidP="007F2CF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運用小組工作方式產出性平議題轉化融入領域課程活動設計。</w:t>
      </w:r>
    </w:p>
    <w:p w:rsidR="007F2CF5" w:rsidRPr="00024981" w:rsidRDefault="007F2CF5" w:rsidP="007F2CF5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八、實施方式：專題演講、分組探討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1"/>
        <w:gridCol w:w="4155"/>
        <w:gridCol w:w="2034"/>
      </w:tblGrid>
      <w:tr w:rsidR="007F2CF5" w:rsidRPr="00FC213A" w:rsidTr="001447EF">
        <w:trPr>
          <w:trHeight w:val="823"/>
          <w:jc w:val="center"/>
        </w:trPr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時間</w:t>
            </w:r>
          </w:p>
        </w:tc>
        <w:tc>
          <w:tcPr>
            <w:tcW w:w="4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活動內容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講師</w:t>
            </w:r>
          </w:p>
        </w:tc>
      </w:tr>
      <w:tr w:rsidR="007F2CF5" w:rsidRPr="00FC213A" w:rsidTr="001447EF">
        <w:trPr>
          <w:trHeight w:val="454"/>
          <w:jc w:val="center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08：30 ～ 09：00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學員報到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承辦學校</w:t>
            </w:r>
          </w:p>
        </w:tc>
      </w:tr>
      <w:tr w:rsidR="007F2CF5" w:rsidRPr="00FC213A" w:rsidTr="001447EF">
        <w:trPr>
          <w:trHeight w:val="862"/>
          <w:jc w:val="center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09：00 ～ 12：00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十二年國教育性平議題實質內涵及學習主題</w:t>
            </w:r>
          </w:p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十二年國教育核心素養教學設計轉化示例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CF5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王儷靜教授</w:t>
            </w:r>
          </w:p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屏東大學教授</w:t>
            </w:r>
          </w:p>
        </w:tc>
      </w:tr>
      <w:tr w:rsidR="007F2CF5" w:rsidRPr="00FC213A" w:rsidTr="001447EF">
        <w:trPr>
          <w:trHeight w:val="454"/>
          <w:jc w:val="center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12：00 ～ 13：30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休息用餐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承辦學校</w:t>
            </w:r>
          </w:p>
        </w:tc>
      </w:tr>
      <w:tr w:rsidR="007F2CF5" w:rsidRPr="00FC213A" w:rsidTr="001447EF">
        <w:trPr>
          <w:trHeight w:val="454"/>
          <w:jc w:val="center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13：30 ～ 16：30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分組討論與設計(國中、國小分兩組)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性平輔導員</w:t>
            </w:r>
          </w:p>
        </w:tc>
      </w:tr>
      <w:tr w:rsidR="007F2CF5" w:rsidRPr="00FC213A" w:rsidTr="001447EF">
        <w:trPr>
          <w:trHeight w:val="454"/>
          <w:jc w:val="center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16：30 ～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賦歸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2CF5" w:rsidRPr="00FC213A" w:rsidRDefault="007F2CF5" w:rsidP="001447E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FC213A">
              <w:rPr>
                <w:rFonts w:ascii="標楷體" w:eastAsia="標楷體" w:hAnsi="標楷體" w:cs="標楷體" w:hint="eastAsia"/>
                <w:kern w:val="2"/>
                <w:sz w:val="24"/>
                <w:lang w:eastAsia="zh-TW"/>
              </w:rPr>
              <w:t>承辦學校</w:t>
            </w:r>
          </w:p>
        </w:tc>
      </w:tr>
    </w:tbl>
    <w:p w:rsidR="007F2CF5" w:rsidRDefault="007F2CF5" w:rsidP="007F2CF5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</w:p>
    <w:p w:rsidR="007F2CF5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>八、經費來源與概算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教育部補助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直轄市、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縣(市)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政府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精進國民中學及國民小學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作業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要點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經費。概算如下列。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>
        <w:rPr>
          <w:rFonts w:ascii="標楷體" w:eastAsia="標楷體" w:hAnsi="標楷體" w:cs="標楷體" w:hint="eastAsia"/>
          <w:kern w:val="2"/>
          <w:sz w:val="24"/>
          <w:lang w:eastAsia="zh-TW"/>
        </w:rPr>
        <w:t>九</w:t>
      </w: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、成效評估之實施：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proofErr w:type="gramStart"/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（一</w:t>
      </w:r>
      <w:proofErr w:type="gramEnd"/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)評估方式：問卷調查、作品產出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（二）評估工具：滿意度調查表暨回饋單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（三）評估指標：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ind w:left="480" w:firstLine="480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1.教師同意接受課程內容並願意參與活動進行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ind w:left="480" w:firstLine="480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2.教師能產出合乎主題之教學設計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十、預期成效：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 w:cs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（一）參與教師理解現行性別平等教育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議題內</w:t>
      </w: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涵，促進個人專業成長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（二）教師充分掌握教材內涵，並應用於性別平等教育教學現場。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（三）參與教師於下半場研習時能分組提出成果進行分享。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（四）教師能將性別平等教育融入各領域教學，充分整合運用，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發展以學生為學習中心的課程教學</w:t>
      </w: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。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 w:cs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十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一</w:t>
      </w: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、本計畫聯絡人：</w:t>
      </w:r>
      <w:proofErr w:type="gramStart"/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鯤鯓</w:t>
      </w:r>
      <w:proofErr w:type="gramEnd"/>
      <w:r>
        <w:rPr>
          <w:rFonts w:ascii="標楷體" w:eastAsia="標楷體" w:hAnsi="標楷體" w:cs="標楷體" w:hint="eastAsia"/>
          <w:kern w:val="2"/>
          <w:sz w:val="24"/>
          <w:lang w:eastAsia="zh-TW"/>
        </w:rPr>
        <w:t>國小</w:t>
      </w:r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方陽</w:t>
      </w:r>
      <w:proofErr w:type="gramStart"/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昇</w:t>
      </w:r>
      <w:proofErr w:type="gramEnd"/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(06-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79</w:t>
      </w:r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2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01</w:t>
      </w:r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85</w:t>
      </w: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#</w:t>
      </w:r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1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0</w:t>
      </w:r>
      <w:r w:rsidR="002E5BCB">
        <w:rPr>
          <w:rFonts w:ascii="標楷體" w:eastAsia="標楷體" w:hAnsi="標楷體" w:cs="標楷體" w:hint="eastAsia"/>
          <w:kern w:val="2"/>
          <w:sz w:val="24"/>
          <w:lang w:eastAsia="zh-TW"/>
        </w:rPr>
        <w:t>1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)。</w:t>
      </w:r>
    </w:p>
    <w:p w:rsidR="007F2CF5" w:rsidRPr="00024981" w:rsidRDefault="007F2CF5" w:rsidP="007F2CF5">
      <w:pPr>
        <w:widowControl w:val="0"/>
        <w:snapToGrid w:val="0"/>
        <w:spacing w:after="0" w:line="240" w:lineRule="auto"/>
        <w:rPr>
          <w:rFonts w:ascii="標楷體" w:eastAsia="標楷體" w:hAnsi="標楷體"/>
          <w:kern w:val="2"/>
          <w:sz w:val="24"/>
          <w:lang w:eastAsia="zh-TW"/>
        </w:rPr>
      </w:pP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十</w:t>
      </w:r>
      <w:r>
        <w:rPr>
          <w:rFonts w:ascii="標楷體" w:eastAsia="標楷體" w:hAnsi="標楷體" w:cs="標楷體" w:hint="eastAsia"/>
          <w:kern w:val="2"/>
          <w:sz w:val="24"/>
          <w:lang w:eastAsia="zh-TW"/>
        </w:rPr>
        <w:t>二</w:t>
      </w:r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、本計畫經陳</w:t>
      </w:r>
      <w:proofErr w:type="gramStart"/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臺</w:t>
      </w:r>
      <w:proofErr w:type="gramEnd"/>
      <w:r w:rsidRPr="00024981">
        <w:rPr>
          <w:rFonts w:ascii="標楷體" w:eastAsia="標楷體" w:hAnsi="標楷體" w:cs="標楷體" w:hint="eastAsia"/>
          <w:kern w:val="2"/>
          <w:sz w:val="24"/>
          <w:lang w:eastAsia="zh-TW"/>
        </w:rPr>
        <w:t>南市政府教育局國教輔導團初審並經教育部核准後實施，修正時亦同。</w:t>
      </w:r>
    </w:p>
    <w:p w:rsidR="007F2CF5" w:rsidRPr="00435A3D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7F2CF5" w:rsidRDefault="007F2CF5" w:rsidP="007F2CF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sectPr w:rsidR="007F2CF5" w:rsidSect="007F2CF5">
      <w:pgSz w:w="11906" w:h="16838"/>
      <w:pgMar w:top="1361" w:right="1588" w:bottom="136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3B13"/>
    <w:multiLevelType w:val="hybridMultilevel"/>
    <w:tmpl w:val="05C60082"/>
    <w:lvl w:ilvl="0" w:tplc="BA560AD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5"/>
    <w:rsid w:val="000D5A23"/>
    <w:rsid w:val="002E5BCB"/>
    <w:rsid w:val="00460B34"/>
    <w:rsid w:val="007F2CF5"/>
    <w:rsid w:val="009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6B19-6D45-4840-BE8A-6E54E257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F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F2CF5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1"/>
    <w:locked/>
    <w:rsid w:val="007F2CF5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2019-09-27T00:08:00Z</dcterms:created>
  <dcterms:modified xsi:type="dcterms:W3CDTF">2019-10-15T07:45:00Z</dcterms:modified>
</cp:coreProperties>
</file>