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BEE" w:rsidRPr="00B36F08" w:rsidRDefault="00B36F08" w:rsidP="00B36F08">
      <w:pPr>
        <w:jc w:val="center"/>
        <w:rPr>
          <w:sz w:val="32"/>
          <w:szCs w:val="32"/>
        </w:rPr>
      </w:pPr>
      <w:r>
        <w:rPr>
          <w:rFonts w:hint="eastAsia"/>
          <w:sz w:val="32"/>
          <w:szCs w:val="32"/>
        </w:rPr>
        <w:t>1030410</w:t>
      </w:r>
      <w:r w:rsidR="00951BEE" w:rsidRPr="00984843">
        <w:rPr>
          <w:rFonts w:hint="eastAsia"/>
          <w:sz w:val="32"/>
          <w:szCs w:val="32"/>
        </w:rPr>
        <w:t>團務會議</w:t>
      </w:r>
      <w:r w:rsidR="000A2569">
        <w:rPr>
          <w:rFonts w:hint="eastAsia"/>
          <w:sz w:val="32"/>
          <w:szCs w:val="32"/>
        </w:rPr>
        <w:t>記錄</w:t>
      </w:r>
    </w:p>
    <w:p w:rsidR="00B36F08" w:rsidRDefault="00B36F08" w:rsidP="00B36F08">
      <w:pPr>
        <w:ind w:left="283" w:hangingChars="118" w:hanging="283"/>
      </w:pPr>
      <w:r>
        <w:rPr>
          <w:rFonts w:hint="eastAsia"/>
        </w:rPr>
        <w:t xml:space="preserve">1. </w:t>
      </w:r>
      <w:r>
        <w:rPr>
          <w:rFonts w:hint="eastAsia"/>
        </w:rPr>
        <w:t>本學期辦理的教師研習即將開跑，首先是「多補有差實用增能研習</w:t>
      </w:r>
      <w:r>
        <w:t>—</w:t>
      </w:r>
      <w:r>
        <w:rPr>
          <w:rFonts w:hint="eastAsia"/>
        </w:rPr>
        <w:t>數學探究教學於課堂之應用與實踐」，本研習分為溪南區、西北區兩場次，說明如下：</w:t>
      </w:r>
    </w:p>
    <w:p w:rsidR="00B36F08" w:rsidRDefault="00B36F08" w:rsidP="00B36F08">
      <w:pPr>
        <w:ind w:left="708" w:hangingChars="295" w:hanging="708"/>
      </w:pPr>
      <w:r>
        <w:rPr>
          <w:rFonts w:hint="eastAsia"/>
        </w:rPr>
        <w:t xml:space="preserve">   (1) </w:t>
      </w:r>
      <w:r>
        <w:rPr>
          <w:rFonts w:hint="eastAsia"/>
        </w:rPr>
        <w:t>第一場次日期為</w:t>
      </w:r>
      <w:r>
        <w:rPr>
          <w:rFonts w:hint="eastAsia"/>
        </w:rPr>
        <w:t>5/21(</w:t>
      </w:r>
      <w:r>
        <w:rPr>
          <w:rFonts w:hint="eastAsia"/>
        </w:rPr>
        <w:t>三</w:t>
      </w:r>
      <w:r>
        <w:rPr>
          <w:rFonts w:hint="eastAsia"/>
        </w:rPr>
        <w:t>)</w:t>
      </w:r>
      <w:r>
        <w:rPr>
          <w:rFonts w:hint="eastAsia"/>
        </w:rPr>
        <w:t>上午</w:t>
      </w:r>
      <w:r>
        <w:rPr>
          <w:rFonts w:hint="eastAsia"/>
        </w:rPr>
        <w:t>08</w:t>
      </w:r>
      <w:r>
        <w:rPr>
          <w:rFonts w:hint="eastAsia"/>
        </w:rPr>
        <w:t>：</w:t>
      </w:r>
      <w:r>
        <w:rPr>
          <w:rFonts w:hint="eastAsia"/>
        </w:rPr>
        <w:t>30</w:t>
      </w:r>
      <w:r>
        <w:rPr>
          <w:rFonts w:hint="eastAsia"/>
        </w:rPr>
        <w:t>～</w:t>
      </w:r>
      <w:r>
        <w:rPr>
          <w:rFonts w:hint="eastAsia"/>
        </w:rPr>
        <w:t>11</w:t>
      </w:r>
      <w:r>
        <w:rPr>
          <w:rFonts w:hint="eastAsia"/>
        </w:rPr>
        <w:t>：</w:t>
      </w:r>
      <w:r>
        <w:rPr>
          <w:rFonts w:hint="eastAsia"/>
        </w:rPr>
        <w:t>30</w:t>
      </w:r>
      <w:r>
        <w:rPr>
          <w:rFonts w:hint="eastAsia"/>
        </w:rPr>
        <w:t>，地點在復興國中，由溪南區老師參加，本場次邀請到簡啟東老師進行數學探究教學實務分享。</w:t>
      </w:r>
    </w:p>
    <w:p w:rsidR="00B36F08" w:rsidRDefault="00B36F08" w:rsidP="00B36F08">
      <w:pPr>
        <w:ind w:left="708" w:hangingChars="295" w:hanging="708"/>
      </w:pPr>
      <w:r>
        <w:rPr>
          <w:rFonts w:hint="eastAsia"/>
        </w:rPr>
        <w:t xml:space="preserve">   (2) </w:t>
      </w:r>
      <w:r>
        <w:rPr>
          <w:rFonts w:hint="eastAsia"/>
        </w:rPr>
        <w:t>第二場次日期為</w:t>
      </w:r>
      <w:r>
        <w:rPr>
          <w:rFonts w:hint="eastAsia"/>
        </w:rPr>
        <w:t>6/11(</w:t>
      </w:r>
      <w:r>
        <w:rPr>
          <w:rFonts w:hint="eastAsia"/>
        </w:rPr>
        <w:t>三</w:t>
      </w:r>
      <w:r>
        <w:rPr>
          <w:rFonts w:hint="eastAsia"/>
        </w:rPr>
        <w:t>)</w:t>
      </w:r>
      <w:r>
        <w:rPr>
          <w:rFonts w:hint="eastAsia"/>
        </w:rPr>
        <w:t>上午</w:t>
      </w:r>
      <w:r>
        <w:rPr>
          <w:rFonts w:hint="eastAsia"/>
        </w:rPr>
        <w:t>08</w:t>
      </w:r>
      <w:r>
        <w:rPr>
          <w:rFonts w:hint="eastAsia"/>
        </w:rPr>
        <w:t>：</w:t>
      </w:r>
      <w:r>
        <w:rPr>
          <w:rFonts w:hint="eastAsia"/>
        </w:rPr>
        <w:t>30</w:t>
      </w:r>
      <w:r>
        <w:rPr>
          <w:rFonts w:hint="eastAsia"/>
        </w:rPr>
        <w:t>～</w:t>
      </w:r>
      <w:r>
        <w:rPr>
          <w:rFonts w:hint="eastAsia"/>
        </w:rPr>
        <w:t>11</w:t>
      </w:r>
      <w:r>
        <w:rPr>
          <w:rFonts w:hint="eastAsia"/>
        </w:rPr>
        <w:t>：</w:t>
      </w:r>
      <w:r>
        <w:rPr>
          <w:rFonts w:hint="eastAsia"/>
        </w:rPr>
        <w:t>30</w:t>
      </w:r>
      <w:r>
        <w:rPr>
          <w:rFonts w:hint="eastAsia"/>
        </w:rPr>
        <w:t>，地點在麻豆國中，由溪北區老師參加，本場次邀請到嘉義北興國中陳秀湘老師以及永康國中巫佳錚老師進行數學探究教學成果分享。</w:t>
      </w:r>
    </w:p>
    <w:p w:rsidR="00B36F08" w:rsidRDefault="00B36F08" w:rsidP="00B36F08">
      <w:pPr>
        <w:ind w:left="708" w:hangingChars="295" w:hanging="708"/>
      </w:pPr>
    </w:p>
    <w:p w:rsidR="00B36F08" w:rsidRDefault="00B36F08" w:rsidP="00B36F08">
      <w:pPr>
        <w:ind w:left="708" w:hangingChars="295" w:hanging="708"/>
      </w:pPr>
      <w:r>
        <w:rPr>
          <w:rFonts w:hint="eastAsia"/>
        </w:rPr>
        <w:t xml:space="preserve">2. </w:t>
      </w:r>
      <w:r>
        <w:rPr>
          <w:rFonts w:hint="eastAsia"/>
        </w:rPr>
        <w:t>以上兩場次研習，請團員盡量出席，並記得上網報名，以下是工作分配：</w:t>
      </w:r>
    </w:p>
    <w:p w:rsidR="00B36F08" w:rsidRDefault="00B36F08" w:rsidP="00B36F08">
      <w:pPr>
        <w:ind w:left="708" w:hangingChars="295" w:hanging="708"/>
      </w:pPr>
      <w:r>
        <w:rPr>
          <w:rFonts w:hint="eastAsia"/>
        </w:rPr>
        <w:t xml:space="preserve">   (1) </w:t>
      </w:r>
      <w:r>
        <w:rPr>
          <w:rFonts w:hint="eastAsia"/>
        </w:rPr>
        <w:t>攝影、拍照：家鼎</w:t>
      </w:r>
      <w:r>
        <w:rPr>
          <w:rFonts w:hint="eastAsia"/>
        </w:rPr>
        <w:t>(</w:t>
      </w:r>
      <w:r>
        <w:rPr>
          <w:rFonts w:hint="eastAsia"/>
        </w:rPr>
        <w:t>記得上傳輔導團網站</w:t>
      </w:r>
      <w:r>
        <w:rPr>
          <w:rFonts w:hint="eastAsia"/>
        </w:rPr>
        <w:t>)</w:t>
      </w:r>
    </w:p>
    <w:p w:rsidR="00B36F08" w:rsidRDefault="00B36F08" w:rsidP="00B36F08">
      <w:pPr>
        <w:ind w:left="708" w:hangingChars="295" w:hanging="708"/>
      </w:pPr>
      <w:r>
        <w:rPr>
          <w:rFonts w:hint="eastAsia"/>
        </w:rPr>
        <w:t xml:space="preserve">   (2) </w:t>
      </w:r>
      <w:r>
        <w:rPr>
          <w:rFonts w:hint="eastAsia"/>
        </w:rPr>
        <w:t>回饋單：柏寬</w:t>
      </w:r>
      <w:r>
        <w:rPr>
          <w:rFonts w:hint="eastAsia"/>
        </w:rPr>
        <w:t>(</w:t>
      </w:r>
      <w:r>
        <w:rPr>
          <w:rFonts w:hint="eastAsia"/>
        </w:rPr>
        <w:t>設計、影印</w:t>
      </w:r>
      <w:r>
        <w:rPr>
          <w:rFonts w:hint="eastAsia"/>
        </w:rPr>
        <w:t>)</w:t>
      </w:r>
      <w:r>
        <w:rPr>
          <w:rFonts w:hint="eastAsia"/>
        </w:rPr>
        <w:t>、俐利</w:t>
      </w:r>
      <w:r>
        <w:rPr>
          <w:rFonts w:hint="eastAsia"/>
        </w:rPr>
        <w:t>(</w:t>
      </w:r>
      <w:r>
        <w:rPr>
          <w:rFonts w:hint="eastAsia"/>
        </w:rPr>
        <w:t>回收、上網填報</w:t>
      </w:r>
      <w:r>
        <w:rPr>
          <w:rFonts w:hint="eastAsia"/>
        </w:rPr>
        <w:t>)</w:t>
      </w:r>
    </w:p>
    <w:p w:rsidR="00B36F08" w:rsidRDefault="00B36F08" w:rsidP="00B36F08">
      <w:pPr>
        <w:ind w:left="708" w:hangingChars="295" w:hanging="708"/>
      </w:pPr>
      <w:r>
        <w:rPr>
          <w:rFonts w:hint="eastAsia"/>
        </w:rPr>
        <w:t xml:space="preserve">   (3) </w:t>
      </w:r>
      <w:r>
        <w:rPr>
          <w:rFonts w:hint="eastAsia"/>
        </w:rPr>
        <w:t>事前聯繫</w:t>
      </w:r>
      <w:r>
        <w:rPr>
          <w:rFonts w:hint="eastAsia"/>
        </w:rPr>
        <w:t>(</w:t>
      </w:r>
      <w:r>
        <w:rPr>
          <w:rFonts w:hint="eastAsia"/>
        </w:rPr>
        <w:t>講師、主辦學校</w:t>
      </w:r>
      <w:r>
        <w:rPr>
          <w:rFonts w:hint="eastAsia"/>
        </w:rPr>
        <w:t>)</w:t>
      </w:r>
      <w:r>
        <w:rPr>
          <w:rFonts w:hint="eastAsia"/>
        </w:rPr>
        <w:t>、印製講義：佳錚</w:t>
      </w:r>
    </w:p>
    <w:p w:rsidR="00B36F08" w:rsidRDefault="00B36F08" w:rsidP="00B36F08">
      <w:pPr>
        <w:ind w:left="708" w:hangingChars="295" w:hanging="708"/>
      </w:pPr>
      <w:r>
        <w:rPr>
          <w:rFonts w:hint="eastAsia"/>
        </w:rPr>
        <w:t xml:space="preserve">   (4) </w:t>
      </w:r>
      <w:r>
        <w:rPr>
          <w:rFonts w:hint="eastAsia"/>
        </w:rPr>
        <w:t>茶水：益明</w:t>
      </w:r>
      <w:r>
        <w:rPr>
          <w:rFonts w:hint="eastAsia"/>
        </w:rPr>
        <w:t>(</w:t>
      </w:r>
      <w:r>
        <w:rPr>
          <w:rFonts w:hint="eastAsia"/>
        </w:rPr>
        <w:t>麻豆場次</w:t>
      </w:r>
      <w:r>
        <w:rPr>
          <w:rFonts w:hint="eastAsia"/>
        </w:rPr>
        <w:t>)</w:t>
      </w:r>
    </w:p>
    <w:p w:rsidR="00B36F08" w:rsidRDefault="00B36F08" w:rsidP="00B36F08">
      <w:pPr>
        <w:ind w:left="708" w:hangingChars="295" w:hanging="708"/>
      </w:pPr>
      <w:r>
        <w:rPr>
          <w:rFonts w:hint="eastAsia"/>
        </w:rPr>
        <w:t xml:space="preserve">   (5) </w:t>
      </w:r>
      <w:r>
        <w:rPr>
          <w:rFonts w:hint="eastAsia"/>
        </w:rPr>
        <w:t>講師接送：俐利</w:t>
      </w:r>
      <w:r>
        <w:rPr>
          <w:rFonts w:hint="eastAsia"/>
        </w:rPr>
        <w:t>(5/21</w:t>
      </w:r>
      <w:r>
        <w:rPr>
          <w:rFonts w:hint="eastAsia"/>
        </w:rPr>
        <w:t>復興場簡老師，台南高鐵站</w:t>
      </w:r>
      <w:r>
        <w:rPr>
          <w:rFonts w:hint="eastAsia"/>
        </w:rPr>
        <w:t>)</w:t>
      </w:r>
      <w:r>
        <w:rPr>
          <w:rFonts w:hint="eastAsia"/>
        </w:rPr>
        <w:t>、</w:t>
      </w:r>
    </w:p>
    <w:p w:rsidR="00562C4F" w:rsidRDefault="00B36F08" w:rsidP="00B36F08">
      <w:pPr>
        <w:ind w:left="283" w:hangingChars="118" w:hanging="283"/>
      </w:pPr>
      <w:r>
        <w:rPr>
          <w:rFonts w:hint="eastAsia"/>
        </w:rPr>
        <w:t xml:space="preserve">                </w:t>
      </w:r>
      <w:r>
        <w:rPr>
          <w:rFonts w:hint="eastAsia"/>
        </w:rPr>
        <w:t>益明</w:t>
      </w:r>
      <w:r>
        <w:rPr>
          <w:rFonts w:hint="eastAsia"/>
        </w:rPr>
        <w:t>(6/11</w:t>
      </w:r>
      <w:r>
        <w:rPr>
          <w:rFonts w:hint="eastAsia"/>
        </w:rPr>
        <w:t>麻豆場秀湘老師，隆田火車站</w:t>
      </w:r>
      <w:r>
        <w:rPr>
          <w:rFonts w:hint="eastAsia"/>
        </w:rPr>
        <w:t>)</w:t>
      </w:r>
    </w:p>
    <w:p w:rsidR="00B36F08" w:rsidRDefault="00B36F08" w:rsidP="00B36F08">
      <w:pPr>
        <w:ind w:left="283" w:hangingChars="118" w:hanging="283"/>
      </w:pPr>
    </w:p>
    <w:p w:rsidR="00C75221" w:rsidRDefault="00B36F08" w:rsidP="00B36F08">
      <w:pPr>
        <w:ind w:left="283" w:hangingChars="118" w:hanging="283"/>
      </w:pPr>
      <w:r>
        <w:rPr>
          <w:rFonts w:hint="eastAsia"/>
        </w:rPr>
        <w:t>3</w:t>
      </w:r>
      <w:r w:rsidR="00562C4F">
        <w:rPr>
          <w:rFonts w:hint="eastAsia"/>
        </w:rPr>
        <w:t xml:space="preserve">. </w:t>
      </w:r>
      <w:r w:rsidR="00562C4F">
        <w:rPr>
          <w:rFonts w:hint="eastAsia"/>
        </w:rPr>
        <w:t>研習訊息：</w:t>
      </w:r>
    </w:p>
    <w:p w:rsidR="00C75221" w:rsidRDefault="00B36F08" w:rsidP="00C75221">
      <w:pPr>
        <w:ind w:leftChars="134" w:left="708" w:hangingChars="161" w:hanging="386"/>
      </w:pPr>
      <w:r>
        <w:rPr>
          <w:rFonts w:hint="eastAsia"/>
        </w:rPr>
        <w:t>(1</w:t>
      </w:r>
      <w:r w:rsidR="00C75221">
        <w:rPr>
          <w:rFonts w:hint="eastAsia"/>
        </w:rPr>
        <w:t xml:space="preserve">) </w:t>
      </w:r>
      <w:r w:rsidR="00C75221">
        <w:rPr>
          <w:rFonts w:hint="eastAsia"/>
        </w:rPr>
        <w:t>臺灣師範大學辦理「</w:t>
      </w:r>
      <w:r w:rsidR="00C75221">
        <w:rPr>
          <w:rFonts w:hint="eastAsia"/>
        </w:rPr>
        <w:t>2014</w:t>
      </w:r>
      <w:r w:rsidR="00C75221">
        <w:rPr>
          <w:rFonts w:hint="eastAsia"/>
        </w:rPr>
        <w:t>年數學活動師培訓研習營」，說明如下：</w:t>
      </w:r>
    </w:p>
    <w:p w:rsidR="00C75221" w:rsidRPr="00C75221" w:rsidRDefault="00C75221" w:rsidP="00C75221">
      <w:pPr>
        <w:ind w:leftChars="134" w:left="708" w:hangingChars="161" w:hanging="386"/>
        <w:rPr>
          <w:rFonts w:ascii="標楷體" w:eastAsia="標楷體" w:hAnsi="標楷體"/>
          <w:sz w:val="20"/>
          <w:szCs w:val="20"/>
        </w:rPr>
      </w:pPr>
      <w:r>
        <w:rPr>
          <w:rFonts w:hint="eastAsia"/>
        </w:rPr>
        <w:t xml:space="preserve"> </w:t>
      </w:r>
      <w:r w:rsidRPr="00C75221">
        <w:rPr>
          <w:rFonts w:ascii="標楷體" w:eastAsia="標楷體" w:hAnsi="標楷體" w:hint="eastAsia"/>
          <w:sz w:val="20"/>
          <w:szCs w:val="20"/>
        </w:rPr>
        <w:t>一、研習目的：國立臺灣師範大學數學教育中心，針對學習數學準備不足之學生，藉由有趣的數學活動，奠立其學習數學的意願與興趣。</w:t>
      </w:r>
    </w:p>
    <w:p w:rsidR="00C75221" w:rsidRPr="00C75221" w:rsidRDefault="00C75221" w:rsidP="00C75221">
      <w:pPr>
        <w:ind w:leftChars="134" w:left="644" w:hangingChars="161" w:hanging="322"/>
        <w:rPr>
          <w:rFonts w:ascii="標楷體" w:eastAsia="標楷體" w:hAnsi="標楷體"/>
          <w:sz w:val="20"/>
          <w:szCs w:val="20"/>
        </w:rPr>
      </w:pPr>
      <w:r w:rsidRPr="00C75221">
        <w:rPr>
          <w:rFonts w:ascii="標楷體" w:eastAsia="標楷體" w:hAnsi="標楷體" w:hint="eastAsia"/>
          <w:sz w:val="20"/>
          <w:szCs w:val="20"/>
        </w:rPr>
        <w:t xml:space="preserve"> 二、研習對象：領有教師證之國小教師或領有數學科教師證的國中教師。</w:t>
      </w:r>
    </w:p>
    <w:p w:rsidR="00C75221" w:rsidRPr="00C75221" w:rsidRDefault="00C75221" w:rsidP="00C75221">
      <w:pPr>
        <w:ind w:leftChars="134" w:left="644" w:hangingChars="161" w:hanging="322"/>
        <w:rPr>
          <w:rFonts w:ascii="標楷體" w:eastAsia="標楷體" w:hAnsi="標楷體"/>
          <w:sz w:val="20"/>
          <w:szCs w:val="20"/>
        </w:rPr>
      </w:pPr>
      <w:r w:rsidRPr="00C75221">
        <w:rPr>
          <w:rFonts w:ascii="標楷體" w:eastAsia="標楷體" w:hAnsi="標楷體" w:hint="eastAsia"/>
          <w:sz w:val="20"/>
          <w:szCs w:val="20"/>
        </w:rPr>
        <w:t xml:space="preserve"> 三、研習時間及地點：</w:t>
      </w:r>
    </w:p>
    <w:p w:rsidR="00C75221" w:rsidRPr="00C75221" w:rsidRDefault="00C75221" w:rsidP="00C75221">
      <w:pPr>
        <w:ind w:leftChars="134" w:left="644" w:hangingChars="161" w:hanging="322"/>
        <w:rPr>
          <w:rFonts w:ascii="標楷體" w:eastAsia="標楷體" w:hAnsi="標楷體"/>
          <w:sz w:val="20"/>
          <w:szCs w:val="20"/>
        </w:rPr>
      </w:pPr>
      <w:r w:rsidRPr="00C75221">
        <w:rPr>
          <w:rFonts w:ascii="標楷體" w:eastAsia="標楷體" w:hAnsi="標楷體" w:hint="eastAsia"/>
          <w:sz w:val="20"/>
          <w:szCs w:val="20"/>
        </w:rPr>
        <w:t xml:space="preserve"> （一）研習時間：國小中年級組103年4月19日；國小高年級組103年4月19日~103年4月20日；國中組103年4月19日~103年4月20日。</w:t>
      </w:r>
    </w:p>
    <w:p w:rsidR="00C75221" w:rsidRPr="00C75221" w:rsidRDefault="00C75221" w:rsidP="00C75221">
      <w:pPr>
        <w:ind w:leftChars="134" w:left="644" w:hangingChars="161" w:hanging="322"/>
        <w:rPr>
          <w:rFonts w:ascii="標楷體" w:eastAsia="標楷體" w:hAnsi="標楷體"/>
          <w:sz w:val="20"/>
          <w:szCs w:val="20"/>
        </w:rPr>
      </w:pPr>
      <w:r w:rsidRPr="00C75221">
        <w:rPr>
          <w:rFonts w:ascii="標楷體" w:eastAsia="標楷體" w:hAnsi="標楷體" w:hint="eastAsia"/>
          <w:sz w:val="20"/>
          <w:szCs w:val="20"/>
        </w:rPr>
        <w:t xml:space="preserve"> （二）研習地點：該校公館校區（臺北市文山區汀州路四段88號）。</w:t>
      </w:r>
    </w:p>
    <w:p w:rsidR="00C75221" w:rsidRPr="00C75221" w:rsidRDefault="00C75221" w:rsidP="00C75221">
      <w:pPr>
        <w:ind w:leftChars="134" w:left="644" w:hangingChars="161" w:hanging="322"/>
        <w:rPr>
          <w:rFonts w:ascii="標楷體" w:eastAsia="標楷體" w:hAnsi="標楷體"/>
          <w:sz w:val="20"/>
          <w:szCs w:val="20"/>
        </w:rPr>
      </w:pPr>
      <w:r w:rsidRPr="00C75221">
        <w:rPr>
          <w:rFonts w:ascii="標楷體" w:eastAsia="標楷體" w:hAnsi="標楷體" w:hint="eastAsia"/>
          <w:sz w:val="20"/>
          <w:szCs w:val="20"/>
        </w:rPr>
        <w:t xml:space="preserve"> 四、報名方式：請填寫附件「數學活動師」培訓研習營報名表，於103年3月24日前E-mail至yichieh09@ntnu.edu.tw，或郵寄至臺北市文山區汀州路四段88號 數學館M103室 數學教育中心收（以郵戳日期為憑）逾期恕不受理。</w:t>
      </w:r>
    </w:p>
    <w:p w:rsidR="00C75221" w:rsidRPr="00C75221" w:rsidRDefault="00C75221" w:rsidP="00C75221">
      <w:pPr>
        <w:ind w:leftChars="134" w:left="644" w:hangingChars="161" w:hanging="322"/>
        <w:rPr>
          <w:rFonts w:ascii="標楷體" w:eastAsia="標楷體" w:hAnsi="標楷體"/>
          <w:sz w:val="20"/>
          <w:szCs w:val="20"/>
        </w:rPr>
      </w:pPr>
      <w:r w:rsidRPr="00C75221">
        <w:rPr>
          <w:rFonts w:ascii="標楷體" w:eastAsia="標楷體" w:hAnsi="標楷體" w:hint="eastAsia"/>
          <w:sz w:val="20"/>
          <w:szCs w:val="20"/>
        </w:rPr>
        <w:t xml:space="preserve"> 五、費用：該次活動不收取任何費用，並含保險費、食宿及補助交通費。</w:t>
      </w:r>
    </w:p>
    <w:p w:rsidR="00C75221" w:rsidRPr="00C75221" w:rsidRDefault="00C75221" w:rsidP="00C75221">
      <w:pPr>
        <w:ind w:leftChars="134" w:left="644" w:hangingChars="161" w:hanging="322"/>
        <w:rPr>
          <w:rFonts w:ascii="標楷體" w:eastAsia="標楷體" w:hAnsi="標楷體"/>
          <w:sz w:val="20"/>
          <w:szCs w:val="20"/>
        </w:rPr>
      </w:pPr>
      <w:r w:rsidRPr="00C75221">
        <w:rPr>
          <w:rFonts w:ascii="標楷體" w:eastAsia="標楷體" w:hAnsi="標楷體" w:hint="eastAsia"/>
          <w:sz w:val="20"/>
          <w:szCs w:val="20"/>
        </w:rPr>
        <w:t xml:space="preserve"> 六、檢附相關報名電子檔(請上該中心網站下載，該中心網址如下)。</w:t>
      </w:r>
      <w:r w:rsidRPr="00C75221">
        <w:rPr>
          <w:rFonts w:ascii="標楷體" w:eastAsia="標楷體" w:hAnsi="標楷體"/>
          <w:sz w:val="20"/>
          <w:szCs w:val="20"/>
        </w:rPr>
        <w:t>http://www.math.ntnu.edu.tw/app/news.php?Sn=669</w:t>
      </w:r>
    </w:p>
    <w:p w:rsidR="00605A2A" w:rsidRPr="00624E29" w:rsidRDefault="000A2569" w:rsidP="000A2569">
      <w:pPr>
        <w:widowControl/>
      </w:pPr>
      <w:r>
        <w:br w:type="page"/>
      </w:r>
      <w:bookmarkStart w:id="0" w:name="_GoBack"/>
      <w:bookmarkEnd w:id="0"/>
      <w:r>
        <w:rPr>
          <w:noProof/>
        </w:rPr>
        <w:lastRenderedPageBreak/>
        <w:drawing>
          <wp:anchor distT="0" distB="0" distL="114300" distR="114300" simplePos="0" relativeHeight="251658240" behindDoc="1" locked="0" layoutInCell="1" allowOverlap="1">
            <wp:simplePos x="0" y="0"/>
            <wp:positionH relativeFrom="column">
              <wp:posOffset>-1979295</wp:posOffset>
            </wp:positionH>
            <wp:positionV relativeFrom="paragraph">
              <wp:posOffset>802640</wp:posOffset>
            </wp:positionV>
            <wp:extent cx="10083165" cy="7562850"/>
            <wp:effectExtent l="2858" t="0" r="0" b="0"/>
            <wp:wrapTight wrapText="bothSides">
              <wp:wrapPolygon edited="0">
                <wp:start x="6" y="21608"/>
                <wp:lineTo x="21553" y="21608"/>
                <wp:lineTo x="21553" y="63"/>
                <wp:lineTo x="6" y="63"/>
                <wp:lineTo x="6" y="21608"/>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410.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0083165" cy="7562850"/>
                    </a:xfrm>
                    <a:prstGeom prst="rect">
                      <a:avLst/>
                    </a:prstGeom>
                  </pic:spPr>
                </pic:pic>
              </a:graphicData>
            </a:graphic>
            <wp14:sizeRelH relativeFrom="page">
              <wp14:pctWidth>0</wp14:pctWidth>
            </wp14:sizeRelH>
            <wp14:sizeRelV relativeFrom="page">
              <wp14:pctHeight>0</wp14:pctHeight>
            </wp14:sizeRelV>
          </wp:anchor>
        </w:drawing>
      </w:r>
    </w:p>
    <w:sectPr w:rsidR="00605A2A" w:rsidRPr="00624E29" w:rsidSect="00951BE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8D1" w:rsidRDefault="006308D1" w:rsidP="00605A2A">
      <w:r>
        <w:separator/>
      </w:r>
    </w:p>
  </w:endnote>
  <w:endnote w:type="continuationSeparator" w:id="0">
    <w:p w:rsidR="006308D1" w:rsidRDefault="006308D1" w:rsidP="0060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8D1" w:rsidRDefault="006308D1" w:rsidP="00605A2A">
      <w:r>
        <w:separator/>
      </w:r>
    </w:p>
  </w:footnote>
  <w:footnote w:type="continuationSeparator" w:id="0">
    <w:p w:rsidR="006308D1" w:rsidRDefault="006308D1" w:rsidP="00605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40EA5"/>
    <w:multiLevelType w:val="hybridMultilevel"/>
    <w:tmpl w:val="3BB035DA"/>
    <w:lvl w:ilvl="0" w:tplc="7484506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2ED432BD"/>
    <w:multiLevelType w:val="hybridMultilevel"/>
    <w:tmpl w:val="52E6C510"/>
    <w:lvl w:ilvl="0" w:tplc="AEACACF8">
      <w:start w:val="1"/>
      <w:numFmt w:val="decimal"/>
      <w:lvlText w:val="(%1)"/>
      <w:lvlJc w:val="left"/>
      <w:pPr>
        <w:ind w:left="714" w:hanging="480"/>
      </w:pPr>
      <w:rPr>
        <w:rFonts w:hint="eastAsia"/>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29"/>
    <w:rsid w:val="0001593C"/>
    <w:rsid w:val="00046531"/>
    <w:rsid w:val="000A2569"/>
    <w:rsid w:val="000C5E30"/>
    <w:rsid w:val="001D28B0"/>
    <w:rsid w:val="004C33A4"/>
    <w:rsid w:val="004C7842"/>
    <w:rsid w:val="00562C4F"/>
    <w:rsid w:val="00582D50"/>
    <w:rsid w:val="00605A2A"/>
    <w:rsid w:val="00624E29"/>
    <w:rsid w:val="006308D1"/>
    <w:rsid w:val="00644922"/>
    <w:rsid w:val="007B2B71"/>
    <w:rsid w:val="008444B5"/>
    <w:rsid w:val="00935AC1"/>
    <w:rsid w:val="00935F78"/>
    <w:rsid w:val="00951BEE"/>
    <w:rsid w:val="00973C30"/>
    <w:rsid w:val="00995007"/>
    <w:rsid w:val="00A04263"/>
    <w:rsid w:val="00B36F08"/>
    <w:rsid w:val="00C75221"/>
    <w:rsid w:val="00CB1BD4"/>
    <w:rsid w:val="00E863DB"/>
    <w:rsid w:val="00ED08A7"/>
    <w:rsid w:val="00F609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4E29"/>
    <w:pPr>
      <w:ind w:leftChars="200" w:left="480"/>
    </w:pPr>
  </w:style>
  <w:style w:type="paragraph" w:styleId="a4">
    <w:name w:val="header"/>
    <w:basedOn w:val="a"/>
    <w:link w:val="a5"/>
    <w:uiPriority w:val="99"/>
    <w:unhideWhenUsed/>
    <w:rsid w:val="00605A2A"/>
    <w:pPr>
      <w:tabs>
        <w:tab w:val="center" w:pos="4153"/>
        <w:tab w:val="right" w:pos="8306"/>
      </w:tabs>
      <w:snapToGrid w:val="0"/>
    </w:pPr>
    <w:rPr>
      <w:sz w:val="20"/>
      <w:szCs w:val="20"/>
    </w:rPr>
  </w:style>
  <w:style w:type="character" w:customStyle="1" w:styleId="a5">
    <w:name w:val="頁首 字元"/>
    <w:basedOn w:val="a0"/>
    <w:link w:val="a4"/>
    <w:uiPriority w:val="99"/>
    <w:rsid w:val="00605A2A"/>
    <w:rPr>
      <w:sz w:val="20"/>
      <w:szCs w:val="20"/>
    </w:rPr>
  </w:style>
  <w:style w:type="paragraph" w:styleId="a6">
    <w:name w:val="footer"/>
    <w:basedOn w:val="a"/>
    <w:link w:val="a7"/>
    <w:uiPriority w:val="99"/>
    <w:unhideWhenUsed/>
    <w:rsid w:val="00605A2A"/>
    <w:pPr>
      <w:tabs>
        <w:tab w:val="center" w:pos="4153"/>
        <w:tab w:val="right" w:pos="8306"/>
      </w:tabs>
      <w:snapToGrid w:val="0"/>
    </w:pPr>
    <w:rPr>
      <w:sz w:val="20"/>
      <w:szCs w:val="20"/>
    </w:rPr>
  </w:style>
  <w:style w:type="character" w:customStyle="1" w:styleId="a7">
    <w:name w:val="頁尾 字元"/>
    <w:basedOn w:val="a0"/>
    <w:link w:val="a6"/>
    <w:uiPriority w:val="99"/>
    <w:rsid w:val="00605A2A"/>
    <w:rPr>
      <w:sz w:val="20"/>
      <w:szCs w:val="20"/>
    </w:rPr>
  </w:style>
  <w:style w:type="paragraph" w:styleId="a8">
    <w:name w:val="Balloon Text"/>
    <w:basedOn w:val="a"/>
    <w:link w:val="a9"/>
    <w:uiPriority w:val="99"/>
    <w:semiHidden/>
    <w:unhideWhenUsed/>
    <w:rsid w:val="000A256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A256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4E29"/>
    <w:pPr>
      <w:ind w:leftChars="200" w:left="480"/>
    </w:pPr>
  </w:style>
  <w:style w:type="paragraph" w:styleId="a4">
    <w:name w:val="header"/>
    <w:basedOn w:val="a"/>
    <w:link w:val="a5"/>
    <w:uiPriority w:val="99"/>
    <w:unhideWhenUsed/>
    <w:rsid w:val="00605A2A"/>
    <w:pPr>
      <w:tabs>
        <w:tab w:val="center" w:pos="4153"/>
        <w:tab w:val="right" w:pos="8306"/>
      </w:tabs>
      <w:snapToGrid w:val="0"/>
    </w:pPr>
    <w:rPr>
      <w:sz w:val="20"/>
      <w:szCs w:val="20"/>
    </w:rPr>
  </w:style>
  <w:style w:type="character" w:customStyle="1" w:styleId="a5">
    <w:name w:val="頁首 字元"/>
    <w:basedOn w:val="a0"/>
    <w:link w:val="a4"/>
    <w:uiPriority w:val="99"/>
    <w:rsid w:val="00605A2A"/>
    <w:rPr>
      <w:sz w:val="20"/>
      <w:szCs w:val="20"/>
    </w:rPr>
  </w:style>
  <w:style w:type="paragraph" w:styleId="a6">
    <w:name w:val="footer"/>
    <w:basedOn w:val="a"/>
    <w:link w:val="a7"/>
    <w:uiPriority w:val="99"/>
    <w:unhideWhenUsed/>
    <w:rsid w:val="00605A2A"/>
    <w:pPr>
      <w:tabs>
        <w:tab w:val="center" w:pos="4153"/>
        <w:tab w:val="right" w:pos="8306"/>
      </w:tabs>
      <w:snapToGrid w:val="0"/>
    </w:pPr>
    <w:rPr>
      <w:sz w:val="20"/>
      <w:szCs w:val="20"/>
    </w:rPr>
  </w:style>
  <w:style w:type="character" w:customStyle="1" w:styleId="a7">
    <w:name w:val="頁尾 字元"/>
    <w:basedOn w:val="a0"/>
    <w:link w:val="a6"/>
    <w:uiPriority w:val="99"/>
    <w:rsid w:val="00605A2A"/>
    <w:rPr>
      <w:sz w:val="20"/>
      <w:szCs w:val="20"/>
    </w:rPr>
  </w:style>
  <w:style w:type="paragraph" w:styleId="a8">
    <w:name w:val="Balloon Text"/>
    <w:basedOn w:val="a"/>
    <w:link w:val="a9"/>
    <w:uiPriority w:val="99"/>
    <w:semiHidden/>
    <w:unhideWhenUsed/>
    <w:rsid w:val="000A256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A25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佳錚</dc:creator>
  <cp:lastModifiedBy>佳錚</cp:lastModifiedBy>
  <cp:revision>3</cp:revision>
  <cp:lastPrinted>2014-02-06T09:26:00Z</cp:lastPrinted>
  <dcterms:created xsi:type="dcterms:W3CDTF">2014-05-19T13:23:00Z</dcterms:created>
  <dcterms:modified xsi:type="dcterms:W3CDTF">2014-05-19T13:24:00Z</dcterms:modified>
</cp:coreProperties>
</file>